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dezoito dias do mês de janeiro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16/01/2023</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 – DADOS DA INVESTIGAÇÃO</w:t>
            </w:r>
          </w:p>
        </w:tc>
      </w:tr>
      <w:tr>
        <w:trPr>
          <w:trHeight w:val="50" w:hRule="atLeast"/>
        </w:trPr>
        <w:tc>
          <w:tcPr>
            <w:tcW w:w="1000" w:type="dxa"/>
          </w:tcPr>
          <w:p>
            <w:pPr>
              <w:jc w:val="center"/>
            </w:pPr>
            <w:r>
              <w:rPr>
                <w:b w:val="1"/>
                <w:bCs w:val="1"/>
              </w:rPr>
              <w:t xml:space="preserve">Nome da vítima:</w:t>
            </w:r>
          </w:p>
        </w:tc>
        <w:tc>
          <w:tcPr>
            <w:tcW w:w="2000" w:type="dxa"/>
          </w:tcPr>
          <w:p>
            <w:pPr>
              <w:jc w:val="center"/>
            </w:pPr>
            <w:r>
              <w:rPr/>
              <w:t xml:space="preserve">Bruno</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16/01/2023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instituto de criminalistica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o seguinte material:</w:t>
      </w:r>
    </w:p>
    <w:tbl>
      <w:tblGrid>
        <w:gridCol/>
        <w:gridCol/>
        <w:gridCol/>
        <w:gridCol/>
        <w:gridCol/>
        <w:gridCol/>
        <w:gridCol/>
      </w:tblGrid>
      <w:tblPr>
        <w:tblStyle w:val="tabela"/>
      </w:tblPr>
      <w:tr>
        <w:trPr>
          <w:trHeight w:val="10" w:hRule="atLeast"/>
        </w:trPr>
        <w:tc>
          <w:tcPr>
            <w:shd w:val="clear" w:fill="999999"/>
          </w:tcPr>
          <w:p>
            <w:pPr>
              <w:jc w:val="center"/>
            </w:pPr>
            <w:r>
              <w:rPr>
                <w:b w:val="1"/>
                <w:bCs w:val="1"/>
              </w:rPr>
              <w:t xml:space="preserve">TABELA ? – MATERIAL ENCAMINHADO A EXAME </w:t>
            </w:r>
          </w:p>
        </w:tc>
      </w:tr>
      <w:tr>
        <w:trPr>
          <w:trHeight w:val="10" w:hRule="atLeast"/>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w:t>
            </w:r>
          </w:p>
        </w:tc>
      </w:tr>
      <w:tr>
        <w:trPr>
          <w:trHeight w:val="10" w:hRule="atLeast"/>
        </w:trPr>
        <w:tc>
          <w:tcPr/>
          <w:p>
            <w:pPr>
              <w:jc w:val="center"/>
            </w:pPr>
            <w:r>
              <w:rPr/>
              <w:t xml:space="preserve">1</w:t>
            </w:r>
          </w:p>
        </w:tc>
        <w:tc>
          <w:tcPr/>
          <w:p>
            <w:pPr>
              <w:jc w:val="center"/>
            </w:pPr>
            <w:r>
              <w:rPr/>
              <w:t xml:space="preserve">cartucho</w:t>
            </w:r>
          </w:p>
        </w:tc>
        <w:tc>
          <w:tcPr/>
          <w:p>
            <w:pPr>
              <w:jc w:val="center"/>
            </w:pPr>
            <w:r>
              <w:rPr/>
              <w:t xml:space="preserve">20</w:t>
            </w:r>
          </w:p>
        </w:tc>
        <w:tc>
          <w:tcPr/>
          <w:p>
            <w:pPr>
              <w:jc w:val="center"/>
            </w:pPr>
            <w:r>
              <w:rPr/>
              <w:t xml:space="preserve"/>
            </w:r>
          </w:p>
        </w:tc>
        <w:tc>
          <w:tcPr/>
          <w:p>
            <w:pPr>
              <w:jc w:val="center"/>
            </w:pPr>
            <w:r>
              <w:rPr/>
              <w:t xml:space="preserve"/>
            </w:r>
          </w:p>
        </w:tc>
        <w:tc>
          <w:tcPr/>
          <w:p>
            <w:pPr>
              <w:jc w:val="center"/>
            </w:pPr>
            <w:r>
              <w:rPr/>
              <w:t xml:space="preserve">123154/2023</w:t>
            </w:r>
          </w:p>
        </w:tc>
        <w:tc>
          <w:tcPr/>
          <w:p>
            <w:pPr>
              <w:jc w:val="center"/>
            </w:pPr>
            <w:r>
              <w:rPr/>
              <w:t xml:space="preserve">787984</w:t>
            </w:r>
          </w:p>
        </w:tc>
      </w:tr>
      <w:tr>
        <w:trPr>
          <w:trHeight w:val="10" w:hRule="atLeast"/>
        </w:trPr>
        <w:tc>
          <w:tcPr/>
          <w:p>
            <w:pPr>
              <w:jc w:val="center"/>
            </w:pPr>
            <w:r>
              <w:rPr/>
              <w:t xml:space="preserve">2</w:t>
            </w:r>
          </w:p>
        </w:tc>
        <w:tc>
          <w:tcPr/>
          <w:p>
            <w:pPr>
              <w:jc w:val="center"/>
            </w:pPr>
            <w:r>
              <w:rPr/>
              <w:t xml:space="preserve">cartucho</w:t>
            </w:r>
          </w:p>
        </w:tc>
        <w:tc>
          <w:tcPr/>
          <w:p>
            <w:pPr>
              <w:jc w:val="center"/>
            </w:pPr>
            <w:r>
              <w:rPr/>
              <w:t xml:space="preserve">20</w:t>
            </w:r>
          </w:p>
        </w:tc>
        <w:tc>
          <w:tcPr/>
          <w:p>
            <w:pPr>
              <w:jc w:val="center"/>
            </w:pPr>
            <w:r>
              <w:rPr/>
              <w:t xml:space="preserve"/>
            </w:r>
          </w:p>
        </w:tc>
        <w:tc>
          <w:tcPr/>
          <w:p>
            <w:pPr>
              <w:jc w:val="center"/>
            </w:pPr>
            <w:r>
              <w:rPr/>
              <w:t xml:space="preserve"/>
            </w:r>
          </w:p>
        </w:tc>
        <w:tc>
          <w:tcPr/>
          <w:p>
            <w:pPr>
              <w:jc w:val="center"/>
            </w:pPr>
            <w:r>
              <w:rPr/>
              <w:t xml:space="preserve">123154/2023</w:t>
            </w:r>
          </w:p>
        </w:tc>
        <w:tc>
          <w:tcPr/>
          <w:p>
            <w:pPr>
              <w:jc w:val="center"/>
            </w:pPr>
            <w:r>
              <w:rPr/>
              <w:t xml:space="preserve">2134324</w:t>
            </w:r>
          </w:p>
        </w:tc>
      </w:tr>
      <w:tr>
        <w:trPr>
          <w:trHeight w:val="10" w:hRule="atLeast"/>
        </w:trPr>
        <w:tc>
          <w:tcPr/>
          <w:p>
            <w:pPr>
              <w:jc w:val="center"/>
            </w:pPr>
            <w:r>
              <w:rPr/>
              <w:t xml:space="preserve">3</w:t>
            </w:r>
          </w:p>
        </w:tc>
        <w:tc>
          <w:tcPr/>
          <w:p>
            <w:pPr>
              <w:jc w:val="center"/>
            </w:pPr>
            <w:r>
              <w:rPr/>
              <w:t xml:space="preserve">estojo</w:t>
            </w:r>
          </w:p>
        </w:tc>
        <w:tc>
          <w:tcPr/>
          <w:p>
            <w:pPr>
              <w:jc w:val="center"/>
            </w:pPr>
            <w:r>
              <w:rPr/>
              <w:t xml:space="preserve">20</w:t>
            </w:r>
          </w:p>
        </w:tc>
        <w:tc>
          <w:tcPr/>
          <w:p>
            <w:pPr>
              <w:jc w:val="center"/>
            </w:pPr>
            <w:r>
              <w:rPr/>
              <w:t xml:space="preserve"/>
            </w:r>
          </w:p>
        </w:tc>
        <w:tc>
          <w:tcPr/>
          <w:p>
            <w:pPr>
              <w:jc w:val="center"/>
            </w:pPr>
            <w:r>
              <w:rPr/>
              <w:t xml:space="preserve"/>
            </w:r>
          </w:p>
        </w:tc>
        <w:tc>
          <w:tcPr/>
          <w:p>
            <w:pPr>
              <w:jc w:val="center"/>
            </w:pPr>
            <w:r>
              <w:rPr/>
              <w:t xml:space="preserve">123154/2023</w:t>
            </w:r>
          </w:p>
        </w:tc>
        <w:tc>
          <w:tcPr/>
          <w:p>
            <w:pPr>
              <w:jc w:val="center"/>
            </w:pPr>
            <w:r>
              <w:rPr/>
              <w:t xml:space="preserve">4645645</w:t>
            </w:r>
          </w:p>
        </w:tc>
      </w:tr>
    </w:tbl>
    <w:p>
      <w:pPr/>
      <w:r>
        <w:rPr/>
        <w:t xml:space="preserve"/>
      </w:r>
    </w:p>
    <w:tbl>
      <w:tblGrid>
        <w:gridCol/>
        <w:gridCol/>
      </w:tblGrid>
      <w:tblPr>
        <w:tblStyle w:val="tabela2img"/>
      </w:tblPr>
      <w:tr>
        <w:trPr>
          <w:trHeight w:val="10" w:hRule="atLeast"/>
          <w:cantSplit w:val="1"/>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0"/>
          <w:bCs w:val="0"/>
        </w:rPr>
        <w:t xml:space="preserve">Trata-se de estojos provenientes de cartuchos próprios para uso em armas de fogo, ??? , integralmente descritos no quadro a seguir:</w:t>
      </w:r>
    </w:p>
    <w:p/>
    <w:tbl>
      <w:tblGrid>
        <w:gridCol/>
        <w:gridCol/>
        <w:gridCol/>
        <w:gridCol/>
        <w:gridCol/>
        <w:gridCol/>
        <w:gridCol/>
        <w:gridCol/>
      </w:tblGrid>
      <w:tblPr>
        <w:tblStyle w:val="tabela"/>
      </w:tblPr>
      <w:tr>
        <w:trPr>
          <w:trHeight w:val="10" w:hRule="atLeast"/>
        </w:trPr>
        <w:tc>
          <w:tcPr>
            <w:shd w:val="clear" w:fill="999999"/>
          </w:tcPr>
          <w:p>
            <w:pPr>
              <w:jc w:val="center"/>
            </w:pPr>
            <w:r>
              <w:rPr>
                <w:b w:val="1"/>
                <w:bCs w:val="1"/>
              </w:rPr>
              <w:t xml:space="preserve"> TABELA ? – DESCRIÇÃO DOS ESTOJOS</w:t>
            </w:r>
          </w:p>
        </w:tc>
      </w:tr>
      <w:tr>
        <w:trPr>
          <w:trHeight w:val="10" w:hRule="atLeast"/>
        </w:trPr>
        <w:tc>
          <w:tcPr/>
          <w:p>
            <w:pPr>
              <w:jc w:val="center"/>
            </w:pPr>
            <w:r>
              <w:rPr>
                <w:b w:val="1"/>
                <w:bCs w:val="1"/>
              </w:rPr>
              <w:t xml:space="preserve">Identificação</w:t>
            </w:r>
          </w:p>
        </w:tc>
        <w:tc>
          <w:tcPr/>
          <w:p>
            <w:pPr>
              <w:jc w:val="center"/>
            </w:pPr>
            <w:r>
              <w:rPr>
                <w:b w:val="1"/>
                <w:bCs w:val="1"/>
              </w:rPr>
              <w:t xml:space="preserve">Qtd</w:t>
            </w:r>
          </w:p>
        </w:tc>
        <w:tc>
          <w:tcPr/>
          <w:p>
            <w:pPr>
              <w:jc w:val="center"/>
            </w:pPr>
            <w:r>
              <w:rPr>
                <w:b w:val="1"/>
                <w:bCs w:val="1"/>
              </w:rPr>
              <w:t xml:space="preserve">Calibre Nominal</w:t>
            </w:r>
          </w:p>
        </w:tc>
        <w:tc>
          <w:tcPr/>
          <w:p>
            <w:pPr>
              <w:jc w:val="center"/>
            </w:pPr>
            <w:r>
              <w:rPr>
                <w:b w:val="1"/>
                <w:bCs w:val="1"/>
              </w:rPr>
              <w:t xml:space="preserve">Marca</w:t>
            </w:r>
          </w:p>
        </w:tc>
        <w:tc>
          <w:tcPr/>
          <w:p>
            <w:pPr>
              <w:jc w:val="center"/>
            </w:pPr>
            <w:r>
              <w:rPr>
                <w:b w:val="1"/>
                <w:bCs w:val="1"/>
              </w:rPr>
              <w:t xml:space="preserve">Procedência</w:t>
            </w:r>
          </w:p>
        </w:tc>
        <w:tc>
          <w:tcPr/>
          <w:p>
            <w:pPr>
              <w:jc w:val="center"/>
            </w:pPr>
            <w:r>
              <w:rPr>
                <w:b w:val="1"/>
                <w:bCs w:val="1"/>
              </w:rPr>
              <w:t xml:space="preserve">Espoleta</w:t>
            </w:r>
          </w:p>
        </w:tc>
        <w:tc>
          <w:tcPr/>
          <w:p>
            <w:pPr>
              <w:jc w:val="center"/>
            </w:pPr>
            <w:r>
              <w:rPr>
                <w:b w:val="1"/>
                <w:bCs w:val="1"/>
              </w:rPr>
              <w:t xml:space="preserve">Estojo Lote</w:t>
            </w:r>
          </w:p>
        </w:tc>
        <w:tc>
          <w:tcPr/>
          <w:p>
            <w:pPr>
              <w:jc w:val="center"/>
            </w:pPr>
            <w:r>
              <w:rPr>
                <w:b w:val="1"/>
                <w:bCs w:val="1"/>
              </w:rPr>
              <w:t xml:space="preserve">Observação</w:t>
            </w:r>
          </w:p>
        </w:tc>
      </w:tr>
      <w:tr>
        <w:trPr>
          <w:trHeight w:val="10" w:hRule="atLeast"/>
        </w:trPr>
        <w:tc>
          <w:tcPr/>
          <w:p>
            <w:pPr/>
            <w:r>
              <w:rPr/>
              <w:t xml:space="preserve">??</w:t>
            </w:r>
          </w:p>
        </w:tc>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Niquelado</w:t>
            </w:r>
          </w:p>
        </w:tc>
        <w:tc>
          <w:tcPr/>
          <w:p>
            <w:pPr>
              <w:jc w:val="center"/>
            </w:pPr>
            <w:r>
              <w:rPr/>
              <w:t xml:space="preserve"/>
            </w:r>
          </w:p>
        </w:tc>
        <w:tc>
          <w:tcPr/>
          <w:p>
            <w:pPr>
              <w:jc w:val="center"/>
            </w:pPr>
            <w:r>
              <w:rPr/>
              <w:t xml:space="preserve"> / ghfgdh</w:t>
            </w:r>
          </w:p>
        </w:tc>
      </w:tr>
    </w:tbl>
    <w:p/>
    <w:p>
      <w:pPr>
        <w:pStyle w:val="justify"/>
      </w:pPr>
      <w:r>
        <w:rPr>
          <w:rFonts w:ascii="Arial" w:hAnsi="Arial" w:eastAsia="Arial" w:cs="Arial"/>
          <w:sz w:val="24"/>
          <w:szCs w:val="24"/>
          <w:b w:val="0"/>
          <w:bCs w:val="0"/>
        </w:rPr>
        <w:t xml:space="preserve">Os estojos ??? foram retornados à Central de Custódia, devidamente embalados, garantindo a integridade das marcas de percussão para futuros exames de comparação microbalística, prestando ainda  como prova material de disparo de arma de fogo. </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w:t>
            </w:r>
          </w:p>
        </w:tc>
        <w:tc>
          <w:tcPr/>
          <w:p>
            <w:pPr>
              <w:jc w:val="center"/>
            </w:pPr>
            <w:r>
              <w:rPr/>
              <w:t xml:space="preserve">CHOG</w:t>
            </w:r>
          </w:p>
        </w:tc>
        <w:tc>
          <w:tcPr/>
          <w:p>
            <w:pPr>
              <w:jc w:val="center"/>
            </w:pPr>
            <w:r>
              <w:rPr/>
              <w:t xml:space="preserve">percutido e não deflagrado / utttftf</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Aço</w:t>
            </w:r>
          </w:p>
        </w:tc>
        <w:tc>
          <w:tcPr/>
          <w:p>
            <w:pPr>
              <w:jc w:val="center"/>
            </w:pPr>
            <w:r>
              <w:rPr/>
              <w:t xml:space="preserve">EXPT</w:t>
            </w:r>
          </w:p>
        </w:tc>
        <w:tc>
          <w:tcPr/>
          <w:p>
            <w:pPr>
              <w:jc w:val="center"/>
            </w:pPr>
            <w:r>
              <w:rPr/>
              <w:t xml:space="preserve">percutido e não deflagrado / vnvmv,</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arma fornecida por este Instituto</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Nestas condições, verificou-se estar a munição eficiente para a realização de tiros.</w:t>
      </w:r>
    </w:p>
    <w:p>
      <w:pPr>
        <w:pStyle w:val="justify"/>
      </w:pPr>
      <w:r>
        <w:rPr>
          <w:rFonts w:ascii="Arial" w:hAnsi="Arial" w:eastAsia="Arial" w:cs="Arial"/>
          <w:sz w:val="24"/>
          <w:szCs w:val="24"/>
          <w:b w:val="0"/>
          <w:bCs w:val="0"/>
        </w:rPr>
        <w:t xml:space="preserve">Trata-se de  cartuchos provenientes de munição própria para uso em armas de fogo, integralmente descritos no quadro a seguir:</w:t>
      </w:r>
    </w:p>
    <w:p/>
    <w:tbl>
      <w:tblGrid>
        <w:gridCol w:w="600" w:type="dxa"/>
        <w:gridCol w:w="1250" w:type="dxa"/>
        <w:gridCol w:w="800" w:type="dxa"/>
        <w:gridCol w:w="1250" w:type="dxa"/>
        <w:gridCol w:w="1250" w:type="dxa"/>
        <w:gridCol w:w="1250" w:type="dxa"/>
        <w:gridCol w:w="1250" w:type="dxa"/>
        <w:gridCol w:w="1250" w:type="dxa"/>
      </w:tblGrid>
      <w:tblPr>
        <w:tblStyle w:val="tabela"/>
      </w:tblPr>
      <w:tr>
        <w:trPr>
          <w:trHeight w:val="10" w:hRule="atLeast"/>
        </w:trPr>
        <w:tc>
          <w:tcPr>
            <w:shd w:val="clear" w:fill="999999"/>
          </w:tcPr>
          <w:p>
            <w:pPr>
              <w:jc w:val="center"/>
            </w:pPr>
            <w:r>
              <w:rPr>
                <w:b w:val="1"/>
                <w:bCs w:val="1"/>
              </w:rPr>
              <w:t xml:space="preserve"> TABELA ? – DESCRIÇÃO DOS CARTUCHOS</w:t>
            </w:r>
          </w:p>
        </w:tc>
      </w:tr>
      <w:tr>
        <w:trPr>
          <w:trHeight w:val="10" w:hRule="atLeast"/>
        </w:trPr>
        <w:tc>
          <w:tcPr>
            <w:tcW w:w="600" w:type="dxa"/>
          </w:tcPr>
          <w:p>
            <w:pPr>
              <w:jc w:val="center"/>
            </w:pPr>
            <w:r>
              <w:rPr>
                <w:b w:val="1"/>
                <w:bCs w:val="1"/>
              </w:rPr>
              <w:t xml:space="preserve">Qtd</w:t>
            </w:r>
          </w:p>
        </w:tc>
        <w:tc>
          <w:tcPr>
            <w:tcW w:w="1250" w:type="dxa"/>
          </w:tcPr>
          <w:p>
            <w:pPr>
              <w:jc w:val="center"/>
            </w:pPr>
            <w:r>
              <w:rPr>
                <w:b w:val="1"/>
                <w:bCs w:val="1"/>
              </w:rPr>
              <w:t xml:space="preserve">Calibre Nominal</w:t>
            </w:r>
          </w:p>
        </w:tc>
        <w:tc>
          <w:tcPr>
            <w:tcW w:w="800" w:type="dxa"/>
          </w:tcPr>
          <w:p>
            <w:pPr>
              <w:jc w:val="center"/>
            </w:pPr>
            <w:r>
              <w:rPr>
                <w:b w:val="1"/>
                <w:bCs w:val="1"/>
              </w:rPr>
              <w:t xml:space="preserve">Marca</w:t>
            </w:r>
          </w:p>
        </w:tc>
        <w:tc>
          <w:tcPr>
            <w:tcW w:w="1250" w:type="dxa"/>
          </w:tcPr>
          <w:p>
            <w:pPr>
              <w:jc w:val="center"/>
            </w:pPr>
            <w:r>
              <w:rPr>
                <w:b w:val="1"/>
                <w:bCs w:val="1"/>
              </w:rPr>
              <w:t xml:space="preserve">Procedência</w:t>
            </w:r>
          </w:p>
        </w:tc>
        <w:tc>
          <w:tcPr>
            <w:tcW w:w="1250" w:type="dxa"/>
          </w:tcPr>
          <w:p>
            <w:pPr>
              <w:jc w:val="center"/>
            </w:pPr>
            <w:r>
              <w:rPr>
                <w:b w:val="1"/>
                <w:bCs w:val="1"/>
              </w:rPr>
              <w:t xml:space="preserve">Espoleta</w:t>
            </w:r>
          </w:p>
        </w:tc>
        <w:tc>
          <w:tcPr>
            <w:tcW w:w="1250" w:type="dxa"/>
          </w:tcPr>
          <w:p>
            <w:pPr>
              <w:jc w:val="center"/>
            </w:pPr>
            <w:r>
              <w:rPr>
                <w:b w:val="1"/>
                <w:bCs w:val="1"/>
              </w:rPr>
              <w:t xml:space="preserve">Estojo Lote</w:t>
            </w:r>
          </w:p>
        </w:tc>
        <w:tc>
          <w:tcPr>
            <w:tcW w:w="125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Latonado</w:t>
            </w:r>
          </w:p>
        </w:tc>
        <w:tc>
          <w:tcPr/>
          <w:p>
            <w:pPr>
              <w:jc w:val="center"/>
            </w:pPr>
            <w:r>
              <w:rPr/>
              <w:t xml:space="preserve">CHOG</w:t>
            </w:r>
          </w:p>
        </w:tc>
        <w:tc>
          <w:tcPr/>
          <w:p>
            <w:pPr>
              <w:jc w:val="center"/>
            </w:pPr>
            <w:r>
              <w:rPr/>
              <w:t xml:space="preserve">percutido e não deflagrado / utttftf</w:t>
            </w:r>
          </w:p>
        </w:tc>
      </w:tr>
      <w:tr>
        <w:trPr>
          <w:trHeight w:val="10" w:hRule="atLeast"/>
        </w:trPr>
        <w:tc>
          <w:tcPr>
            <w:tcW w:w="600" w:type="dxa"/>
          </w:tcPr>
          <w:p>
            <w:pPr>
              <w:jc w:val="center"/>
            </w:pPr>
            <w:r>
              <w:rPr/>
              <w:t xml:space="preserve">20</w:t>
            </w:r>
          </w:p>
        </w:tc>
        <w:tc>
          <w:tcPr/>
          <w:p>
            <w:pPr>
              <w:jc w:val="center"/>
            </w:pPr>
            <w:r>
              <w:rPr/>
              <w:t xml:space="preserve">.22 Curto</w:t>
            </w:r>
          </w:p>
        </w:tc>
        <w:tc>
          <w:tcPr>
            <w:tcW w:w="800" w:type="dxa"/>
          </w:tcPr>
          <w:p>
            <w:pPr>
              <w:jc w:val="center"/>
            </w:pPr>
            <w:r>
              <w:rPr/>
              <w:t xml:space="preserve">Aguila</w:t>
            </w:r>
          </w:p>
        </w:tc>
        <w:tc>
          <w:tcPr/>
          <w:p>
            <w:pPr>
              <w:jc w:val="center"/>
            </w:pPr>
            <w:r>
              <w:rPr/>
              <w:t xml:space="preserve">Mexicana</w:t>
            </w:r>
          </w:p>
        </w:tc>
        <w:tc>
          <w:tcPr/>
          <w:p>
            <w:pPr>
              <w:jc w:val="center"/>
            </w:pPr>
            <w:r>
              <w:rPr/>
              <w:t xml:space="preserve">Niquelada</w:t>
            </w:r>
          </w:p>
        </w:tc>
        <w:tc>
          <w:tcPr/>
          <w:p>
            <w:pPr>
              <w:jc w:val="center"/>
            </w:pPr>
            <w:r>
              <w:rPr/>
              <w:t xml:space="preserve">Aço</w:t>
            </w:r>
          </w:p>
        </w:tc>
        <w:tc>
          <w:tcPr/>
          <w:p>
            <w:pPr>
              <w:jc w:val="center"/>
            </w:pPr>
            <w:r>
              <w:rPr/>
              <w:t xml:space="preserve">EXPT</w:t>
            </w:r>
          </w:p>
        </w:tc>
        <w:tc>
          <w:tcPr/>
          <w:p>
            <w:pPr>
              <w:jc w:val="center"/>
            </w:pPr>
            <w:r>
              <w:rPr/>
              <w:t xml:space="preserve">percutido e não deflagrado / vnvmv,</w:t>
            </w:r>
          </w:p>
        </w:tc>
      </w:tr>
      <w:tr>
        <w:trPr>
          <w:trHeight w:val="10" w:hRule="atLeast"/>
        </w:trPr>
        <w:tc>
          <w:tcPr/>
          <w:p>
            <w:pPr/>
            <w:r>
              <w:rPr>
                <w:sz w:val="16"/>
                <w:szCs w:val="16"/>
              </w:rPr>
              <w:t xml:space="preserve">Legenda: NTA = Munição Não-Tóxica; ETOG = Encamisado Total Ogival; CHOG = Chumbo nu Ogival;</w:t>
            </w:r>
          </w:p>
        </w:tc>
      </w:tr>
    </w:tbl>
    <w:p/>
    <w:p>
      <w:pPr>
        <w:pStyle w:val="justify"/>
      </w:pP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e/ou utilizados no procedimento de coleta de padrão balístico abaixo citado. </w:t>
      </w:r>
      <w:r>
        <w:rPr>
          <w:rFonts w:ascii="Arial" w:hAnsi="Arial" w:eastAsia="Arial" w:cs="Arial"/>
          <w:sz w:val="24"/>
          <w:szCs w:val="24"/>
          <w:b w:val="0"/>
          <w:bCs w:val="0"/>
        </w:rPr>
        <w:t xml:space="preserve">Nestas condições, verificou-se estar a munição eficiente para a realização de tiros.</w:t>
      </w:r>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rFonts w:ascii="italic" w:hAnsi="italic" w:eastAsia="italic" w:cs="italic"/>
                <w:sz w:val="28"/>
                <w:szCs w:val="28"/>
                <w:b w:val="1"/>
                <w:bCs w:val="1"/>
              </w:rPr>
              <w:t xml:space="preserve">Usuário Admin</w:t>
            </w:r>
          </w:p>
        </w:tc>
      </w:tr>
      <w:tr>
        <w:trPr/>
        <w:tc>
          <w:tcPr/>
          <w:p>
            <w:pPr>
              <w:jc w:val="center"/>
            </w:pPr>
            <w:r>
              <w:rPr>
                <w:rFonts w:ascii="italic" w:hAnsi="italic" w:eastAsia="italic" w:cs="italic"/>
                <w:sz w:val="28"/>
                <w:szCs w:val="28"/>
                <w:b w:val="1"/>
                <w:bCs w:val="1"/>
              </w:rPr>
              <w:t xml:space="preserve">Perito Criminal – Seção de Balística Forense</w:t>
            </w:r>
          </w:p>
        </w:tc>
      </w:tr>
      <w:tr>
        <w:trPr/>
        <w:tc>
          <w:tcPr/>
          <w:p>
            <w:pPr>
              <w:jc w:val="center"/>
            </w:pPr>
            <w:r>
              <w:rPr>
                <w:rFonts w:ascii="italic" w:hAnsi="italic" w:eastAsia="italic" w:cs="italic"/>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123154/2023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2023-01-13T16:42:22+00:00</dcterms:created>
  <dcterms:modified xsi:type="dcterms:W3CDTF">2023-01-13T16:42:22+00:00</dcterms:modified>
</cp:coreProperties>
</file>

<file path=docProps/custom.xml><?xml version="1.0" encoding="utf-8"?>
<Properties xmlns="http://schemas.openxmlformats.org/officeDocument/2006/custom-properties" xmlns:vt="http://schemas.openxmlformats.org/officeDocument/2006/docPropsVTypes"/>
</file>