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26/01/2023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jfghghjh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4521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1234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Fragmento de 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124345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2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Necrópsia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Fragmento de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1234</w:t>
            </w:r>
          </w:p>
        </w:tc>
        <w:tc>
          <w:tcPr/>
          <w:p>
            <w:pPr>
              <w:jc w:val="center"/>
            </w:pPr>
            <w:r>
              <w:rPr/>
              <w:t xml:space="preserve">1234</w:t>
            </w:r>
          </w:p>
        </w:tc>
        <w:tc>
          <w:tcPr/>
          <w:p>
            <w:pPr>
              <w:jc w:val="center"/>
            </w:pPr>
            <w:r>
              <w:rPr/>
              <w:t xml:space="preserve">1242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5/ 4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sinistrógiro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sinistrógiro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lateral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base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MADEIRA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  <w:tc>
          <w:tcPr/>
          <w:p>
            <w:pPr>
              <w:jc w:val="center"/>
            </w:pPr>
            <w:r>
              <w:rPr/>
              <w:t xml:space="preserve">SS</w:t>
            </w:r>
          </w:p>
        </w:tc>
      </w:tr>
    </w:tbl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Tomadas fotográficas Projetil LACRE-4521 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Tomadas fotográficas Projetil LACRE-1234 PQ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Tomadas fotográficas Projetil LACRE-124345 PQ 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ineficientes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11"/>
      <w:footerReference w:type="default" r:id="rId12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1321/2023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2023-01-25T12:42:43+00:00</dcterms:created>
  <dcterms:modified xsi:type="dcterms:W3CDTF">2023-01-25T12:42:43+00:00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