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10/02/2023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Vitima</w:t>
            </w:r>
          </w:p>
        </w:tc>
        <w:tc>
          <w:tcPr>
            <w:tcW w:w="2000" w:type="dxa"/>
          </w:tcPr>
          <w:p>
            <w:pPr>
              <w:jc w:val="center"/>
            </w:pPr>
            <w:r>
              <w:rPr/>
              <w:t xml:space="preserve">thiago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jhonatan</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20</w:t>
            </w:r>
          </w:p>
        </w:tc>
        <w:tc>
          <w:tcPr/>
          <w:p>
            <w:pPr>
              <w:jc w:val="center"/>
            </w:pPr>
            <w:r>
              <w:rPr/>
              <w:t xml:space="preserve">pioup</w:t>
            </w:r>
          </w:p>
        </w:tc>
        <w:tc>
          <w:tcPr/>
          <w:p>
            <w:pPr>
              <w:jc w:val="center"/>
            </w:pPr>
            <w:r>
              <w:rPr/>
              <w:t xml:space="preserve">3213</w:t>
            </w:r>
          </w:p>
        </w:tc>
        <w:tc>
          <w:tcPr/>
          <w:p>
            <w:pPr>
              <w:jc w:val="center"/>
            </w:pPr>
            <w:r>
              <w:rPr/>
              <w:t xml:space="preserve">13213/2023</w:t>
            </w:r>
          </w:p>
        </w:tc>
        <w:tc>
          <w:tcPr/>
          <w:p>
            <w:pPr>
              <w:jc w:val="center"/>
            </w:pPr>
            <w:r>
              <w:rPr/>
              <w:t xml:space="preserve">34532</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9X19</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(12312)</w:t>
            </w:r>
          </w:p>
        </w:tc>
        <w:tc>
          <w:tcPr/>
          <w:p>
            <w:pPr>
              <w:jc w:val="center"/>
            </w:pPr>
            <w:r>
              <w:rPr/>
              <w:t xml:space="preserve">5</w:t>
            </w:r>
          </w:p>
        </w:tc>
        <w:tc>
          <w:tcPr/>
          <w:p>
            <w:pPr>
              <w:jc w:val="center"/>
            </w:pPr>
            <w:r>
              <w:rPr/>
              <w:t xml:space="preserve">recarregado / hsgfh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r>
        <w:rPr>
          <w:rFonts w:ascii="Arial" w:hAnsi="Arial" w:eastAsia="Arial" w:cs="Arial"/>
          <w:sz w:val="24"/>
          <w:szCs w:val="24"/>
          <w:b w:val="0"/>
          <w:bCs w:val="0"/>
        </w:rPr>
        <w:t xml:space="preserve">•   Cartucho  com Lacre 123123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13213/2023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2023-02-09T11:59:50+00:00</dcterms:created>
  <dcterms:modified xsi:type="dcterms:W3CDTF">2023-02-09T11:59:50+00:00</dcterms:modified>
</cp:coreProperties>
</file>

<file path=docProps/custom.xml><?xml version="1.0" encoding="utf-8"?>
<Properties xmlns="http://schemas.openxmlformats.org/officeDocument/2006/custom-properties" xmlns:vt="http://schemas.openxmlformats.org/officeDocument/2006/docPropsVTypes"/>
</file>