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quatro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17/01/2023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 – DADOS DA INVESTIGAÇÃO</w:t>
            </w:r>
          </w:p>
        </w:tc>
      </w:tr>
      <w:tr>
        <w:trPr>
          <w:trHeight w:val="50" w:hRule="atLeast"/>
        </w:trPr>
        <w:tc>
          <w:tcPr>
            <w:tcW w:w="1000" w:type="dxa"/>
          </w:tcPr>
          <w:p>
            <w:pPr>
              <w:jc w:val="center"/>
            </w:pPr>
            <w:r>
              <w:rPr>
                <w:b w:val="1"/>
                <w:bCs w:val="1"/>
              </w:rPr>
              <w:t xml:space="preserve">Em poder de:</w:t>
            </w:r>
          </w:p>
        </w:tc>
        <w:tc>
          <w:tcPr>
            <w:tcW w:w="2000" w:type="dxa"/>
          </w:tcPr>
          <w:p>
            <w:pPr>
              <w:jc w:val="center"/>
            </w:pPr>
            <w:r>
              <w:rPr/>
              <w:t xml:space="preserve">gsdfgsdfg</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17/01/2023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r>
              <w:rPr/>
              <w:t xml:space="preserve"/>
            </w:r>
          </w:p>
        </w:tc>
        <w:tc>
          <w:tcPr>
            <w:tcW w:w="1000" w:type="dxa"/>
          </w:tcPr>
          <w:p>
            <w:pPr>
              <w:jc w:val="center"/>
            </w:pPr>
            <w:r>
              <w:rPr>
                <w:b w:val="1"/>
                <w:bCs w:val="1"/>
              </w:rPr>
              <w:t xml:space="preserve">Nº do IP:</w:t>
            </w:r>
          </w:p>
        </w:tc>
        <w:tc>
          <w:tcPr>
            <w:tcW w:w="3050" w:type="dxa"/>
          </w:tcPr>
          <w:p>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tbl>
      <w:tblGrid>
        <w:gridCol/>
        <w:gridCol/>
        <w:gridCol/>
        <w:gridCol/>
        <w:gridCol/>
        <w:gridCol/>
        <w:gridCol/>
      </w:tblGrid>
      <w:tblPr>
        <w:tblStyle w:val="tabela"/>
      </w:tblPr>
      <w:tr>
        <w:trPr>
          <w:trHeight w:val="10" w:hRule="atLeast"/>
        </w:trPr>
        <w:tc>
          <w:tcPr>
            <w:shd w:val="clear" w:fill="999999"/>
          </w:tcPr>
          <w:p>
            <w:pPr>
              <w:jc w:val="center"/>
            </w:pPr>
            <w:r>
              <w:rPr>
                <w:b w:val="1"/>
                <w:bCs w:val="1"/>
              </w:rPr>
              <w:t xml:space="preserve">TABELA ? – MATERIAL ENCAMINHADO A EXAME </w:t>
            </w:r>
          </w:p>
        </w:tc>
      </w:tr>
      <w:tr>
        <w:trPr>
          <w:trHeight w:val="10" w:hRule="atLeast"/>
        </w:trPr>
        <w:tc>
          <w:tcPr/>
          <w:p>
            <w:pPr>
              <w:jc w:val="center"/>
            </w:pPr>
            <w:r>
              <w:rPr>
                <w:b w:val="1"/>
                <w:bCs w:val="1"/>
              </w:rPr>
              <w:t xml:space="preserve">Item</w:t>
            </w:r>
          </w:p>
        </w:tc>
        <w:tc>
          <w:tcPr/>
          <w:p>
            <w:pPr>
              <w:jc w:val="center"/>
            </w:pPr>
            <w:r>
              <w:rPr>
                <w:b w:val="1"/>
                <w:bCs w:val="1"/>
              </w:rPr>
              <w:t xml:space="preserve">Tipo</w:t>
            </w:r>
          </w:p>
        </w:tc>
        <w:tc>
          <w:tcPr/>
          <w:p>
            <w:pPr>
              <w:jc w:val="center"/>
            </w:pPr>
            <w:r>
              <w:rPr>
                <w:b w:val="1"/>
                <w:bCs w:val="1"/>
              </w:rPr>
              <w:t xml:space="preserve">Qtde</w:t>
            </w:r>
          </w:p>
        </w:tc>
        <w:tc>
          <w:tcPr/>
          <w:p>
            <w:pPr>
              <w:jc w:val="center"/>
            </w:pPr>
            <w:r>
              <w:rPr>
                <w:b w:val="1"/>
                <w:bCs w:val="1"/>
              </w:rPr>
              <w:t xml:space="preserve">Origem</w:t>
            </w:r>
          </w:p>
        </w:tc>
        <w:tc>
          <w:tcPr/>
          <w:p>
            <w:pPr>
              <w:jc w:val="center"/>
            </w:pPr>
            <w:r>
              <w:rPr>
                <w:b w:val="1"/>
                <w:bCs w:val="1"/>
              </w:rPr>
              <w:t xml:space="preserve">Nº Exame Coleta</w:t>
            </w:r>
          </w:p>
        </w:tc>
        <w:tc>
          <w:tcPr/>
          <w:p>
            <w:pPr>
              <w:jc w:val="center"/>
            </w:pPr>
            <w:r>
              <w:rPr>
                <w:b w:val="1"/>
                <w:bCs w:val="1"/>
              </w:rPr>
              <w:t xml:space="preserve">N° Requisição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cartucho</w:t>
            </w:r>
          </w:p>
        </w:tc>
        <w:tc>
          <w:tcPr/>
          <w:p>
            <w:pPr>
              <w:jc w:val="center"/>
            </w:pPr>
            <w:r>
              <w:rPr/>
              <w:t xml:space="preserve">2</w:t>
            </w:r>
          </w:p>
        </w:tc>
        <w:tc>
          <w:tcPr/>
          <w:p>
            <w:pPr>
              <w:jc w:val="center"/>
            </w:pPr>
            <w:r>
              <w:rPr/>
              <w:t xml:space="preserve"/>
            </w:r>
          </w:p>
        </w:tc>
        <w:tc>
          <w:tcPr/>
          <w:p>
            <w:pPr>
              <w:jc w:val="center"/>
            </w:pPr>
            <w:r>
              <w:rPr/>
              <w:t xml:space="preserve"/>
            </w:r>
          </w:p>
        </w:tc>
        <w:tc>
          <w:tcPr/>
          <w:p>
            <w:pPr>
              <w:jc w:val="center"/>
            </w:pPr>
            <w:r>
              <w:rPr/>
              <w:t xml:space="preserve">15165/2023</w:t>
            </w:r>
          </w:p>
        </w:tc>
        <w:tc>
          <w:tcPr/>
          <w:p>
            <w:pPr>
              <w:jc w:val="center"/>
            </w:pPr>
            <w:r>
              <w:rPr/>
              <w:t xml:space="preserve">1111E</w:t>
            </w:r>
          </w:p>
        </w:tc>
      </w:tr>
      <w:tr>
        <w:trPr>
          <w:trHeight w:val="10" w:hRule="atLeast"/>
        </w:trPr>
        <w:tc>
          <w:tcPr/>
          <w:p>
            <w:pPr>
              <w:jc w:val="center"/>
            </w:pPr>
            <w:r>
              <w:rPr/>
              <w:t xml:space="preserve">2</w:t>
            </w:r>
          </w:p>
        </w:tc>
        <w:tc>
          <w:tcPr/>
          <w:p>
            <w:pPr>
              <w:jc w:val="center"/>
            </w:pPr>
            <w:r>
              <w:rPr/>
              <w:t xml:space="preserve">cartucho</w:t>
            </w:r>
          </w:p>
        </w:tc>
        <w:tc>
          <w:tcPr/>
          <w:p>
            <w:pPr>
              <w:jc w:val="center"/>
            </w:pPr>
            <w:r>
              <w:rPr/>
              <w:t xml:space="preserve">1</w:t>
            </w:r>
          </w:p>
        </w:tc>
        <w:tc>
          <w:tcPr/>
          <w:p>
            <w:pPr>
              <w:jc w:val="center"/>
            </w:pPr>
            <w:r>
              <w:rPr/>
              <w:t xml:space="preserve"/>
            </w:r>
          </w:p>
        </w:tc>
        <w:tc>
          <w:tcPr/>
          <w:p>
            <w:pPr>
              <w:jc w:val="center"/>
            </w:pPr>
            <w:r>
              <w:rPr/>
              <w:t xml:space="preserve"/>
            </w:r>
          </w:p>
        </w:tc>
        <w:tc>
          <w:tcPr/>
          <w:p>
            <w:pPr>
              <w:jc w:val="center"/>
            </w:pPr>
            <w:r>
              <w:rPr/>
              <w:t xml:space="preserve">15165/2023</w:t>
            </w:r>
          </w:p>
        </w:tc>
        <w:tc>
          <w:tcPr/>
          <w:p>
            <w:pPr>
              <w:jc w:val="center"/>
            </w:pPr>
            <w:r>
              <w:rPr/>
              <w:t xml:space="preserve">333E</w:t>
            </w:r>
          </w:p>
        </w:tc>
      </w:tr>
      <w:tr>
        <w:trPr>
          <w:trHeight w:val="10" w:hRule="atLeast"/>
        </w:trPr>
        <w:tc>
          <w:tcPr/>
          <w:p>
            <w:pPr>
              <w:jc w:val="center"/>
            </w:pPr>
            <w:r>
              <w:rPr/>
              <w:t xml:space="preserve">3</w:t>
            </w:r>
          </w:p>
        </w:tc>
        <w:tc>
          <w:tcPr/>
          <w:p>
            <w:pPr>
              <w:jc w:val="center"/>
            </w:pPr>
            <w:r>
              <w:rPr/>
              <w:t xml:space="preserve">cartucho</w:t>
            </w:r>
          </w:p>
        </w:tc>
        <w:tc>
          <w:tcPr/>
          <w:p>
            <w:pPr>
              <w:jc w:val="center"/>
            </w:pPr>
            <w:r>
              <w:rPr/>
              <w:t xml:space="preserve">5</w:t>
            </w:r>
          </w:p>
        </w:tc>
        <w:tc>
          <w:tcPr/>
          <w:p>
            <w:pPr>
              <w:jc w:val="center"/>
            </w:pPr>
            <w:r>
              <w:rPr/>
              <w:t xml:space="preserve"/>
            </w:r>
          </w:p>
        </w:tc>
        <w:tc>
          <w:tcPr/>
          <w:p>
            <w:pPr>
              <w:jc w:val="center"/>
            </w:pPr>
            <w:r>
              <w:rPr/>
              <w:t xml:space="preserve"/>
            </w:r>
          </w:p>
        </w:tc>
        <w:tc>
          <w:tcPr/>
          <w:p>
            <w:pPr>
              <w:jc w:val="center"/>
            </w:pPr>
            <w:r>
              <w:rPr/>
              <w:t xml:space="preserve">15165/2023</w:t>
            </w:r>
          </w:p>
        </w:tc>
        <w:tc>
          <w:tcPr/>
          <w:p>
            <w:pPr>
              <w:jc w:val="center"/>
            </w:pPr>
            <w:r>
              <w:rPr/>
              <w:t xml:space="preserve">666E</w:t>
            </w:r>
          </w:p>
        </w:tc>
      </w:tr>
    </w:tbl>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Latonada</w:t>
            </w:r>
          </w:p>
        </w:tc>
        <w:tc>
          <w:tcPr/>
          <w:p>
            <w:pPr>
              <w:jc w:val="center"/>
            </w:pPr>
            <w:r>
              <w:rPr/>
              <w:t xml:space="preserve">Latonado</w:t>
            </w:r>
          </w:p>
        </w:tc>
        <w:tc>
          <w:tcPr/>
          <w:p>
            <w:pPr>
              <w:jc w:val="center"/>
            </w:pPr>
            <w:r>
              <w:rPr/>
              <w:t xml:space="preserve">CHOG</w:t>
            </w:r>
          </w:p>
        </w:tc>
        <w:tc>
          <w:tcPr/>
          <w:p>
            <w:pPr>
              <w:jc w:val="center"/>
            </w:pPr>
            <w:r>
              <w:rPr/>
              <w:t xml:space="preserve">percutido e não deflagrado / jghjgh</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Os cartuchos percutidos foram retornados à Central de Custódia, devidamente embalados com </w:t>
      </w:r>
      <w:r>
        <w:rPr>
          <w:rFonts w:ascii="Arial" w:hAnsi="Arial" w:eastAsia="Arial" w:cs="Arial"/>
          <w:sz w:val="24"/>
          <w:szCs w:val="24"/>
          <w:b w:val="1"/>
          <w:bCs w:val="1"/>
        </w:rPr>
        <w:t xml:space="preserve"> Lacre 2222S</w:t>
      </w:r>
      <w:r>
        <w:rPr>
          <w:rFonts w:ascii="Arial" w:hAnsi="Arial" w:eastAsia="Arial" w:cs="Arial"/>
          <w:sz w:val="24"/>
          <w:szCs w:val="24"/>
          <w:b w:val="0"/>
          <w:bCs w:val="0"/>
        </w:rPr>
        <w:t xml:space="preserve">,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munição eficiente para a realização de tiros.</w:t>
      </w:r>
    </w:p>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1</w:t>
            </w:r>
          </w:p>
        </w:tc>
        <w:tc>
          <w:tcPr/>
          <w:p>
            <w:pPr>
              <w:jc w:val="center"/>
            </w:pPr>
            <w:r>
              <w:rPr/>
              <w:t xml:space="preserve">.25ACP</w:t>
            </w:r>
          </w:p>
        </w:tc>
        <w:tc>
          <w:tcPr>
            <w:tcW w:w="800" w:type="dxa"/>
          </w:tcPr>
          <w:p>
            <w:pPr>
              <w:jc w:val="center"/>
            </w:pPr>
            <w:r>
              <w:rPr/>
              <w:t xml:space="preserve">CBC</w:t>
            </w:r>
          </w:p>
        </w:tc>
        <w:tc>
          <w:tcPr/>
          <w:p>
            <w:pPr>
              <w:jc w:val="center"/>
            </w:pPr>
            <w:r>
              <w:rPr/>
              <w:t xml:space="preserve">Brasileira</w:t>
            </w:r>
          </w:p>
        </w:tc>
        <w:tc>
          <w:tcPr/>
          <w:p>
            <w:pPr>
              <w:jc w:val="center"/>
            </w:pPr>
            <w:r>
              <w:rPr/>
              <w:t xml:space="preserve">Niquelada</w:t>
            </w:r>
          </w:p>
        </w:tc>
        <w:tc>
          <w:tcPr/>
          <w:p>
            <w:pPr>
              <w:jc w:val="center"/>
            </w:pPr>
            <w:r>
              <w:rPr/>
              <w:t xml:space="preserve">Niquelado</w:t>
            </w:r>
          </w:p>
        </w:tc>
        <w:tc>
          <w:tcPr/>
          <w:p>
            <w:pPr>
              <w:jc w:val="center"/>
            </w:pPr>
            <w:r>
              <w:rPr/>
              <w:t xml:space="preserve">CHOG</w:t>
            </w:r>
          </w:p>
        </w:tc>
        <w:tc>
          <w:tcPr/>
          <w:p>
            <w:pPr>
              <w:jc w:val="center"/>
            </w:pPr>
            <w:r>
              <w:rPr/>
              <w:t xml:space="preserve">intacto / jghjgh</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munição eficiente para a realização de tiros.</w:t>
      </w:r>
    </w:p>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3.3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5</w:t>
            </w:r>
          </w:p>
        </w:tc>
        <w:tc>
          <w:tcPr/>
          <w:p>
            <w:pPr>
              <w:jc w:val="center"/>
            </w:pPr>
            <w:r>
              <w:rPr/>
              <w:t xml:space="preserve">.25ACP</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Latonado</w:t>
            </w:r>
          </w:p>
        </w:tc>
        <w:tc>
          <w:tcPr/>
          <w:p>
            <w:pPr>
              <w:jc w:val="center"/>
            </w:pPr>
            <w:r>
              <w:rPr/>
              <w:t xml:space="preserve">CHCV</w:t>
            </w:r>
          </w:p>
        </w:tc>
        <w:tc>
          <w:tcPr/>
          <w:p>
            <w:pPr>
              <w:jc w:val="center"/>
            </w:pPr>
            <w:r>
              <w:rPr/>
              <w:t xml:space="preserve">intacto / jghjgh</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munição eficiente para a realização de tiros.</w:t>
      </w:r>
    </w:p>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rFonts w:ascii="italic" w:hAnsi="italic" w:eastAsia="italic" w:cs="italic"/>
                <w:sz w:val="28"/>
                <w:szCs w:val="28"/>
                <w:b w:val="1"/>
                <w:bCs w:val="1"/>
              </w:rPr>
              <w:t xml:space="preserve">Usuário Admin</w:t>
            </w:r>
          </w:p>
        </w:tc>
      </w:tr>
      <w:tr>
        <w:trPr/>
        <w:tc>
          <w:tcPr/>
          <w:p>
            <w:pPr>
              <w:jc w:val="center"/>
            </w:pPr>
            <w:r>
              <w:rPr>
                <w:rFonts w:ascii="italic" w:hAnsi="italic" w:eastAsia="italic" w:cs="italic"/>
                <w:sz w:val="28"/>
                <w:szCs w:val="28"/>
                <w:b w:val="1"/>
                <w:bCs w:val="1"/>
              </w:rPr>
              <w:t xml:space="preserve">Perito Criminal – Seção de Balística Forense</w:t>
            </w:r>
          </w:p>
        </w:tc>
      </w:tr>
      <w:tr>
        <w:trPr/>
        <w:tc>
          <w:tcPr/>
          <w:p>
            <w:pPr>
              <w:jc w:val="center"/>
            </w:pPr>
            <w:r>
              <w:rPr>
                <w:rFonts w:ascii="italic" w:hAnsi="italic" w:eastAsia="italic" w:cs="italic"/>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15165/2023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2023-01-16T16:15:29+00:00</dcterms:created>
  <dcterms:modified xsi:type="dcterms:W3CDTF">2023-01-16T16:15:29+00:00</dcterms:modified>
</cp:coreProperties>
</file>

<file path=docProps/custom.xml><?xml version="1.0" encoding="utf-8"?>
<Properties xmlns="http://schemas.openxmlformats.org/officeDocument/2006/custom-properties" xmlns:vt="http://schemas.openxmlformats.org/officeDocument/2006/docPropsVTypes"/>
</file>