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center"/>
      </w:pPr>
      <w:r>
        <w:rPr>
          <w:rFonts w:ascii="Arial" w:hAnsi="Arial" w:eastAsia="Arial" w:cs="Arial"/>
          <w:sz w:val="28"/>
          <w:szCs w:val="28"/>
          <w:b w:val="1"/>
          <w:bCs w:val="1"/>
        </w:rPr>
        <w:t xml:space="preserve">LAUDO DE PERÍCIA CRIMINAL</w:t>
      </w:r>
    </w:p>
    <w:p>
      <w:pPr>
        <w:pStyle w:val="center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(EXAME DE ARMAS DE FOGO E MUNIÇÕES)</w:t>
      </w:r>
    </w:p>
    <w:p>
      <w:pPr>
        <w:pStyle w:val="right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Código: B602 - EFICIÊNCIA E PRESTABILIDADE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Aos trinta e um dias do mês de janeiro do ano de dois mil e vinte e três, nesta cidade de Guarapuava e na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POLÍCIA CIENTÍFICA DO PARANÁ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, foi designado 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o Perito Criminal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Usuário Admin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, para proceder ao exame dos  vestígios balísticos abaixo discriminados, recebidos nesta Seção em 30/01/2023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em complemento aos exames de local de morte e/ou necrópsia em que tais vestígios foram coletados.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Em consequência, o Perito procedeu ao exame solicitado, relatando-o com a verdade e com todas as circunstâncias relevantes, da forma como segue: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1. OBJETIVO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A perícia tem como objetivo a efetivação do exame descritivo da totalidade do material, bem como a sua eficiência e prestabilidade, para instruir os autos da investigação policial abaixo descrita:</w:t>
      </w:r>
    </w:p>
    <w:p/>
    <w:tbl>
      <w:tblGrid>
        <w:gridCol w:w="3050" w:type="dxa"/>
        <w:gridCol w:w="2000" w:type="dxa"/>
        <w:gridCol w:w="1000" w:type="dxa"/>
        <w:gridCol w:w="3050" w:type="dxa"/>
      </w:tblGrid>
      <w:tblPr>
        <w:tblStyle w:val="tabela"/>
      </w:tblPr>
      <w:tr>
        <w:trPr>
          <w:trHeight w:val="50" w:hRule="atLeast"/>
        </w:trPr>
        <w:tc>
          <w:tcPr>
            <w:tcW w:w="5" w:type="dxa"/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1 – DADOS DA INVESTIGAÇÃO</w:t>
            </w:r>
          </w:p>
        </w:tc>
      </w:tr>
      <w:tr>
        <w:trPr>
          <w:trHeight w:val="50" w:hRule="atLeast"/>
        </w:trPr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Nome da vítima</w:t>
            </w:r>
          </w:p>
        </w:tc>
        <w:tc>
          <w:tcPr>
            <w:tcW w:w="2000" w:type="dxa"/>
          </w:tcPr>
          <w:p>
            <w:pPr>
              <w:jc w:val="center"/>
            </w:pPr>
            <w:r>
              <w:rPr/>
              <w:t xml:space="preserve">tyrtyrty</w:t>
            </w:r>
          </w:p>
        </w:tc>
      </w:tr>
      <w:tr>
        <w:trPr>
          <w:trHeight w:val="50" w:hRule="atLeast"/>
        </w:trPr>
        <w:tc>
          <w:tcPr>
            <w:tcW w:w="305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Data da Ocorrência:</w:t>
            </w:r>
          </w:p>
        </w:tc>
        <w:tc>
          <w:tcPr>
            <w:tcW w:w="2000" w:type="dxa"/>
          </w:tcPr>
          <w:p>
            <w:pPr>
              <w:jc w:val="center"/>
            </w:pPr>
            <w:r>
              <w:rPr/>
              <w:t xml:space="preserve">31/01/2023</w:t>
            </w:r>
          </w:p>
        </w:tc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Local:</w:t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/>
              <w:t xml:space="preserve">Curitiba / Centro</w:t>
            </w:r>
          </w:p>
        </w:tc>
      </w:tr>
      <w:tr>
        <w:trPr>
          <w:trHeight w:val="50" w:hRule="atLeast"/>
        </w:trPr>
        <w:tc>
          <w:tcPr>
            <w:tcW w:w="2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Boletim de Ocorrência:</w:t>
            </w:r>
          </w:p>
        </w:tc>
        <w:tc>
          <w:tcPr>
            <w:tcW w:w="2500" w:type="dxa"/>
          </w:tcPr>
          <w:p>
            <w:pPr>
              <w:jc w:val="center"/>
            </w:pPr>
            <w:r>
              <w:rPr/>
              <w:t xml:space="preserve"/>
            </w:r>
          </w:p>
        </w:tc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Nº do IP:</w:t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/>
              <w:t xml:space="preserve"/>
            </w:r>
          </w:p>
        </w:tc>
      </w:tr>
      <w:tr>
        <w:trPr>
          <w:trHeight w:val="50" w:hRule="atLeast"/>
        </w:trPr>
        <w:tc>
          <w:tcPr>
            <w:tcW w:w="2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Unidade Policial:</w:t>
            </w:r>
          </w:p>
        </w:tc>
        <w:tc>
          <w:tcPr>
            <w:tcW w:w="3000" w:type="dxa"/>
          </w:tcPr>
          <w:p>
            <w:pPr>
              <w:jc w:val="center"/>
            </w:pPr>
            <w:r>
              <w:rPr/>
              <w:t xml:space="preserve">hlhjlkkjkkjkjhklhjk</w:t>
            </w:r>
          </w:p>
        </w:tc>
      </w:tr>
    </w:tbl>
    <w:p>
      <w:pPr>
        <w:pStyle w:val="justifyExam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2. MATERIAL APRESENTADO A EXAME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Foi encaminhado a este Instituto de Criminalística, em embalagens plásticas transparentes lacradas, o seguinte material:</w:t>
      </w:r>
    </w:p>
    <w:p/>
    <w:tbl>
      <w:tblGrid>
        <w:gridCol/>
        <w:gridCol/>
        <w:gridCol/>
        <w:gridCol/>
        <w:gridCol/>
        <w:gridCol/>
      </w:tblGrid>
      <w:tblPr>
        <w:tblStyle w:val="tabela"/>
      </w:tblPr>
      <w:tr>
        <w:trPr>
          <w:trHeight w:val="10" w:hRule="atLeast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2 – MATERIAL ENCAMINHADO A EXAME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Item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Natureza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Quantidade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Tipo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Dito no Ofício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Lacre de Entrada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/>
              <w:t xml:space="preserve">1</w:t>
            </w:r>
          </w:p>
        </w:tc>
        <w:tc>
          <w:tcPr/>
          <w:p>
            <w:pPr>
              <w:jc w:val="center"/>
            </w:pPr>
            <w:r>
              <w:rPr/>
              <w:t xml:space="preserve">Armas</w:t>
            </w:r>
          </w:p>
        </w:tc>
        <w:tc>
          <w:tcPr/>
          <w:p>
            <w:pPr>
              <w:jc w:val="center"/>
            </w:pPr>
            <w:r>
              <w:rPr/>
              <w:t xml:space="preserve">1</w:t>
            </w:r>
          </w:p>
        </w:tc>
        <w:tc>
          <w:tcPr/>
          <w:p>
            <w:pPr>
              <w:jc w:val="center"/>
            </w:pPr>
            <w:r>
              <w:rPr/>
              <w:t xml:space="preserve">Revólver</w:t>
            </w:r>
          </w:p>
        </w:tc>
        <w:tc>
          <w:tcPr/>
          <w:p>
            <w:pPr>
              <w:jc w:val="center"/>
            </w:pPr>
            <w:r>
              <w:rPr/>
              <w:t xml:space="preserve">Beretta 7687</w:t>
            </w:r>
          </w:p>
        </w:tc>
        <w:tc>
          <w:tcPr/>
          <w:p>
            <w:pPr>
              <w:jc w:val="center"/>
            </w:pPr>
            <w:r>
              <w:rPr/>
              <w:t xml:space="preserve">12343</w:t>
            </w:r>
          </w:p>
        </w:tc>
      </w:tr>
    </w:tbl>
    <w:p>
      <w:pPr/>
      <w:r>
        <w:rPr/>
        <w:t xml:space="preserve"/>
      </w:r>
    </w:p>
    <w:tbl>
      <w:tblGrid>
        <w:gridCol/>
        <w:gridCol/>
      </w:tblGrid>
      <w:tblPr>
        <w:tblStyle w:val="tabela2img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3 – TOMADAS FOTOGRÁFICAS DA EMBALAGEM RECEBIDA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pict>
                <v:shape type="#_x0000_t75" style="width:150pt; height:150pt; margin-left:0pt; margin-top:0pt; mso-position-horizontal:left; mso-position-vertical:top; mso-position-horizontal-relative:char; mso-position-vertical-relative:line;">
                  <w10:wrap type="inline"/>
                  <v:imagedata r:id="rId7" o:title=""/>
                </v:shape>
              </w:pict>
            </w:r>
          </w:p>
        </w:tc>
        <w:tc>
          <w:tcPr/>
          <w:p>
            <w:pPr>
              <w:jc w:val="center"/>
            </w:pPr>
            <w:r>
              <w:pict>
                <v:shape type="#_x0000_t75" style="width:150pt; height:150pt; margin-left:0pt; margin-top:0pt; mso-position-horizontal:left; mso-position-vertical:top; mso-position-horizontal-relative:char; mso-position-vertical-relative:line;">
                  <w10:wrap type="inline"/>
                  <v:imagedata r:id="rId8" o:title=""/>
                </v:shape>
              </w:pict>
            </w:r>
          </w:p>
        </w:tc>
      </w:tr>
    </w:tbl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3. DO EXAME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3. 1 DA ARMA AF-A - Beretta 7687 – Lacre 54353543</w:t>
      </w:r>
    </w:p>
    <w:p/>
    <w:p>
      <w:pPr/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a) Descrição da arma:</w:t>
      </w:r>
    </w:p>
    <w:tbl>
      <w:tblGrid>
        <w:gridCol w:w="2000" w:type="dxa"/>
        <w:gridCol w:w="2000" w:type="dxa"/>
        <w:gridCol w:w="5050" w:type="dxa"/>
      </w:tblGrid>
      <w:tblPr>
        <w:tblStyle w:val="tabelaArmas"/>
      </w:tblPr>
      <w:tr>
        <w:trPr>
          <w:trHeight w:val="50" w:hRule="atLeast"/>
          <w:cantSplit w:val="1"/>
        </w:trPr>
        <w:tc>
          <w:tcPr>
            <w:tcW w:w="5050" w:type="dxa"/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3 – Descrição da Revólver Lacre Nº54353543</w:t>
            </w:r>
          </w:p>
        </w:tc>
      </w:tr>
      <w:tr>
        <w:trPr>
          <w:trHeight w:val="50" w:hRule="atLeast"/>
          <w:cantSplit w:val="1"/>
        </w:trPr>
        <w:tc>
          <w:tcPr>
            <w:tcW w:w="2000" w:type="dxa"/>
            <w:vMerge w:val="restart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Características Identificadoras</w:t>
            </w:r>
          </w:p>
        </w:tc>
        <w:tc>
          <w:tcPr>
            <w:tcW w:w="2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Marca:</w:t>
            </w:r>
          </w:p>
        </w:tc>
        <w:tc>
          <w:tcPr>
            <w:tcW w:w="5050" w:type="dxa"/>
          </w:tcPr>
          <w:p>
            <w:pPr>
              <w:jc w:val="center"/>
            </w:pPr>
            <w:r>
              <w:rPr/>
              <w:t xml:space="preserve">Beretta</w:t>
            </w:r>
          </w:p>
        </w:tc>
      </w:tr>
      <w:tr>
        <w:trPr>
          <w:trHeight w:val="50" w:hRule="atLeast"/>
          <w:cantSplit w:val="1"/>
        </w:trPr>
        <w:tc>
          <w:tcPr>
            <w:tcW w:w="2000" w:type="dxa"/>
            <w:vMerge w:val="continue"/>
          </w:tcPr>
          <w:p>
            <w:pPr/>
            <w:r>
              <w:rPr/>
              <w:t xml:space="preserve"/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Modelo:</w:t>
            </w:r>
          </w:p>
        </w:tc>
        <w:tc>
          <w:tcPr>
            <w:tcW w:w="5050" w:type="dxa"/>
          </w:tcPr>
          <w:p>
            <w:pPr>
              <w:jc w:val="center"/>
            </w:pPr>
            <w:r>
              <w:rPr/>
              <w:t xml:space="preserve">7687</w:t>
            </w:r>
          </w:p>
        </w:tc>
      </w:tr>
      <w:tr>
        <w:trPr>
          <w:trHeight w:val="50" w:hRule="atLeast"/>
          <w:cantSplit w:val="1"/>
        </w:trPr>
        <w:tc>
          <w:tcPr>
            <w:tcW w:w="2000" w:type="dxa"/>
            <w:vMerge w:val="continue"/>
          </w:tcPr>
          <w:p>
            <w:pPr/>
            <w:r>
              <w:rPr/>
              <w:t xml:space="preserve"/>
            </w:r>
          </w:p>
        </w:tc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Calibre nominal:</w:t>
            </w:r>
          </w:p>
        </w:tc>
        <w:tc>
          <w:tcPr>
            <w:tcW w:w="5050" w:type="dxa"/>
          </w:tcPr>
          <w:p>
            <w:pPr>
              <w:jc w:val="center"/>
            </w:pPr>
            <w:r>
              <w:rPr/>
              <w:t xml:space="preserve">.22 Curto</w:t>
            </w:r>
          </w:p>
        </w:tc>
      </w:tr>
      <w:tr>
        <w:trPr>
          <w:trHeight w:val="50" w:hRule="atLeast"/>
          <w:cantSplit w:val="1"/>
        </w:trPr>
        <w:tc>
          <w:tcPr>
            <w:tcW w:w="2000" w:type="dxa"/>
            <w:vMerge w:val="continue"/>
          </w:tcPr>
          <w:p>
            <w:pPr/>
            <w:r>
              <w:rPr/>
              <w:t xml:space="preserve"> </w:t>
            </w:r>
          </w:p>
        </w:tc>
        <w:tc>
          <w:tcPr>
            <w:tcW w:w="2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Procedência:</w:t>
            </w:r>
          </w:p>
        </w:tc>
        <w:tc>
          <w:tcPr>
            <w:tcW w:w="5050" w:type="dxa"/>
          </w:tcPr>
          <w:p>
            <w:pPr>
              <w:jc w:val="center"/>
            </w:pPr>
            <w:r>
              <w:rPr/>
              <w:t xml:space="preserve">Italiana</w:t>
            </w:r>
          </w:p>
        </w:tc>
      </w:tr>
      <w:tr>
        <w:trPr>
          <w:trHeight w:val="50" w:hRule="atLeast"/>
          <w:cantSplit w:val="1"/>
        </w:trPr>
        <w:tc>
          <w:tcPr>
            <w:tcW w:w="2000" w:type="dxa"/>
            <w:vMerge w:val="continue"/>
          </w:tcPr>
          <w:p>
            <w:pPr/>
            <w:r>
              <w:rPr/>
              <w:t xml:space="preserve"/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Nº de série:</w:t>
            </w:r>
          </w:p>
        </w:tc>
        <w:tc>
          <w:tcPr>
            <w:tcW w:w="5050" w:type="dxa"/>
          </w:tcPr>
          <w:p>
            <w:pPr>
              <w:jc w:val="center"/>
            </w:pPr>
            <w:r>
              <w:rPr/>
              <w:t xml:space="preserve">XXXXXXXXXXXXXXXXXXXXXXXX</w:t>
            </w:r>
          </w:p>
        </w:tc>
      </w:tr>
      <w:tr>
        <w:trPr>
          <w:trHeight w:val="50" w:hRule="atLeast"/>
          <w:cantSplit w:val="1"/>
        </w:trPr>
        <w:tc>
          <w:tcPr>
            <w:tcW w:w="2000" w:type="dxa"/>
            <w:vMerge w:val="continue"/>
          </w:tcPr>
          <w:p>
            <w:pPr/>
            <w:r>
              <w:rPr/>
              <w:t xml:space="preserve"/>
            </w:r>
          </w:p>
        </w:tc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Nº de patrimônio:</w:t>
            </w:r>
          </w:p>
        </w:tc>
        <w:tc>
          <w:tcPr>
            <w:tcW w:w="5050" w:type="dxa"/>
          </w:tcPr>
          <w:p>
            <w:pPr>
              <w:jc w:val="center"/>
            </w:pPr>
            <w:r>
              <w:rPr/>
              <w:t xml:space="preserve">765</w:t>
            </w:r>
          </w:p>
        </w:tc>
      </w:tr>
      <w:tr>
        <w:trPr>
          <w:trHeight w:val="50" w:hRule="atLeast"/>
          <w:cantSplit w:val="1"/>
        </w:trPr>
        <w:tc>
          <w:tcPr>
            <w:tcW w:w="2000" w:type="dxa"/>
            <w:vMerge w:val="continue"/>
          </w:tcPr>
          <w:p>
            <w:pPr/>
            <w:r>
              <w:rPr/>
              <w:t xml:space="preserve"/>
            </w:r>
          </w:p>
        </w:tc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Nº de montagem:</w:t>
            </w:r>
          </w:p>
        </w:tc>
        <w:tc>
          <w:tcPr>
            <w:tcW w:w="5050" w:type="dxa"/>
          </w:tcPr>
          <w:p>
            <w:pPr>
              <w:jc w:val="center"/>
            </w:pPr>
            <w:r>
              <w:rPr/>
              <w:t xml:space="preserve">456456</w:t>
            </w:r>
          </w:p>
        </w:tc>
      </w:tr>
      <w:tr>
        <w:trPr>
          <w:trHeight w:val="50" w:hRule="atLeast"/>
          <w:cantSplit w:val="1"/>
        </w:trPr>
        <w:tc>
          <w:tcPr>
            <w:tcW w:w="2000" w:type="dxa"/>
            <w:vMerge w:val="restart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Características do funcionamento</w:t>
            </w:r>
          </w:p>
        </w:tc>
        <w:tc>
          <w:tcPr>
            <w:tcW w:w="2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Sistema de carregamento:</w:t>
            </w:r>
          </w:p>
        </w:tc>
        <w:tc>
          <w:tcPr>
            <w:tcW w:w="5050" w:type="dxa"/>
          </w:tcPr>
          <w:p>
            <w:pPr>
              <w:jc w:val="center"/>
            </w:pPr>
            <w:r>
              <w:rPr/>
              <w:t xml:space="preserve">Retrocarga</w:t>
            </w:r>
          </w:p>
        </w:tc>
      </w:tr>
      <w:tr>
        <w:trPr>
          <w:trHeight w:val="50" w:hRule="atLeast"/>
          <w:cantSplit w:val="1"/>
        </w:trPr>
        <w:tc>
          <w:tcPr>
            <w:tcW w:w="2000" w:type="dxa"/>
            <w:vMerge w:val="continue"/>
          </w:tcPr>
          <w:p>
            <w:pPr/>
            <w:r>
              <w:rPr/>
              <w:t xml:space="preserve"/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Regime de tiro:</w:t>
            </w:r>
          </w:p>
        </w:tc>
        <w:tc>
          <w:tcPr>
            <w:tcW w:w="5050" w:type="dxa"/>
          </w:tcPr>
          <w:p>
            <w:pPr>
              <w:jc w:val="center"/>
            </w:pPr>
            <w:r>
              <w:rPr/>
              <w:t xml:space="preserve">repetição</w:t>
            </w:r>
          </w:p>
        </w:tc>
      </w:tr>
      <w:tr>
        <w:trPr>
          <w:trHeight w:val="50" w:hRule="atLeast"/>
          <w:cantSplit w:val="1"/>
        </w:trPr>
        <w:tc>
          <w:tcPr>
            <w:tcW w:w="2000" w:type="dxa"/>
            <w:vMerge w:val="continue"/>
          </w:tcPr>
          <w:p>
            <w:pPr/>
            <w:r>
              <w:rPr/>
              <w:t xml:space="preserve"/>
            </w:r>
          </w:p>
        </w:tc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Quantidade de canos:</w:t>
            </w:r>
          </w:p>
        </w:tc>
        <w:tc>
          <w:tcPr>
            <w:tcW w:w="5050" w:type="dxa"/>
          </w:tcPr>
          <w:p>
            <w:pPr>
              <w:jc w:val="center"/>
            </w:pPr>
            <w:r>
              <w:rPr/>
              <w:t xml:space="preserve">Um</w:t>
            </w:r>
          </w:p>
        </w:tc>
      </w:tr>
      <w:tr>
        <w:trPr>
          <w:trHeight w:val="50" w:hRule="atLeast"/>
          <w:cantSplit w:val="1"/>
        </w:trPr>
        <w:tc>
          <w:tcPr>
            <w:tcW w:w="2000" w:type="dxa"/>
            <w:vMerge w:val="continue"/>
          </w:tcPr>
          <w:p>
            <w:pPr/>
            <w:r>
              <w:rPr/>
              <w:t xml:space="preserve"/>
            </w:r>
          </w:p>
        </w:tc>
        <w:tc>
          <w:tcPr>
            <w:tcW w:w="2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Comprimento do cano:</w:t>
            </w:r>
          </w:p>
        </w:tc>
        <w:tc>
          <w:tcPr>
            <w:tcW w:w="5050" w:type="dxa"/>
          </w:tcPr>
          <w:p>
            <w:pPr>
              <w:jc w:val="center"/>
            </w:pPr>
            <w:r>
              <w:rPr/>
              <w:t xml:space="preserve">1,231mm</w:t>
            </w:r>
          </w:p>
        </w:tc>
      </w:tr>
      <w:tr>
        <w:trPr>
          <w:trHeight w:val="50" w:hRule="atLeast"/>
          <w:cantSplit w:val="1"/>
        </w:trPr>
        <w:tc>
          <w:tcPr>
            <w:tcW w:w="2000" w:type="dxa"/>
            <w:vMerge w:val="continue"/>
          </w:tcPr>
          <w:p>
            <w:pPr/>
            <w:r>
              <w:rPr/>
              <w:t xml:space="preserve"/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Diâmetro do cano:</w:t>
            </w:r>
          </w:p>
        </w:tc>
        <w:tc>
          <w:tcPr>
            <w:tcW w:w="5050" w:type="dxa"/>
          </w:tcPr>
          <w:p>
            <w:pPr>
              <w:jc w:val="center"/>
            </w:pPr>
            <w:r>
              <w:rPr/>
              <w:t xml:space="preserve">1,222mm</w:t>
            </w:r>
          </w:p>
        </w:tc>
      </w:tr>
      <w:tr>
        <w:trPr>
          <w:trHeight w:val="50" w:hRule="atLeast"/>
          <w:cantSplit w:val="1"/>
        </w:trPr>
        <w:tc>
          <w:tcPr>
            <w:tcW w:w="2000" w:type="dxa"/>
            <w:vMerge w:val="continue"/>
          </w:tcPr>
          <w:p>
            <w:pPr/>
            <w:r>
              <w:rPr/>
              <w:t xml:space="preserve"/>
            </w:r>
          </w:p>
        </w:tc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Nº de raias:</w:t>
            </w:r>
          </w:p>
        </w:tc>
        <w:tc>
          <w:tcPr>
            <w:tcW w:w="5050" w:type="dxa"/>
          </w:tcPr>
          <w:p>
            <w:pPr>
              <w:jc w:val="center"/>
            </w:pPr>
            <w:r>
              <w:rPr/>
              <w:t xml:space="preserve">20</w:t>
            </w:r>
          </w:p>
        </w:tc>
      </w:tr>
      <w:tr>
        <w:trPr>
          <w:trHeight w:val="50" w:hRule="atLeast"/>
          <w:cantSplit w:val="1"/>
        </w:trPr>
        <w:tc>
          <w:tcPr>
            <w:tcW w:w="2000" w:type="dxa"/>
            <w:vMerge w:val="continue"/>
          </w:tcPr>
          <w:p>
            <w:pPr/>
            <w:r>
              <w:rPr/>
              <w:t xml:space="preserve"/>
            </w:r>
          </w:p>
        </w:tc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Orientação de raias:</w:t>
            </w:r>
          </w:p>
        </w:tc>
        <w:tc>
          <w:tcPr>
            <w:tcW w:w="5050" w:type="dxa"/>
          </w:tcPr>
          <w:p>
            <w:pPr>
              <w:jc w:val="center"/>
            </w:pPr>
            <w:r>
              <w:rPr/>
              <w:t xml:space="preserve">Dextrógiro</w:t>
            </w:r>
          </w:p>
        </w:tc>
      </w:tr>
      <w:tr>
        <w:trPr>
          <w:trHeight w:val="50" w:hRule="atLeast"/>
          <w:cantSplit w:val="1"/>
        </w:trPr>
        <w:tc>
          <w:tcPr>
            <w:tcW w:w="2000" w:type="dxa"/>
            <w:vMerge w:val="continue"/>
          </w:tcPr>
          <w:p>
            <w:pPr/>
            <w:r>
              <w:rPr/>
              <w:t xml:space="preserve"/>
            </w:r>
          </w:p>
        </w:tc>
        <w:tc>
          <w:tcPr>
            <w:tcW w:w="2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Tipo do tambor:</w:t>
            </w:r>
          </w:p>
        </w:tc>
        <w:tc>
          <w:tcPr>
            <w:tcW w:w="5050" w:type="dxa"/>
          </w:tcPr>
          <w:p>
            <w:pPr>
              <w:jc w:val="center"/>
            </w:pPr>
            <w:r>
              <w:rPr/>
              <w:t xml:space="preserve">Fixo com janela</w:t>
            </w:r>
          </w:p>
        </w:tc>
      </w:tr>
      <w:tr>
        <w:trPr>
          <w:trHeight w:val="50" w:hRule="atLeast"/>
          <w:cantSplit w:val="1"/>
        </w:trPr>
        <w:tc>
          <w:tcPr>
            <w:tcW w:w="2000" w:type="dxa"/>
            <w:vMerge w:val="continue"/>
          </w:tcPr>
          <w:p>
            <w:pPr/>
            <w:r>
              <w:rPr/>
              <w:t xml:space="preserve"/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Giro do tambor:</w:t>
            </w:r>
          </w:p>
        </w:tc>
        <w:tc>
          <w:tcPr>
            <w:tcW w:w="5050" w:type="dxa"/>
          </w:tcPr>
          <w:p>
            <w:pPr>
              <w:jc w:val="center"/>
            </w:pPr>
            <w:r>
              <w:rPr/>
              <w:t xml:space="preserve">Dextrógiro</w:t>
            </w:r>
          </w:p>
        </w:tc>
      </w:tr>
      <w:tr>
        <w:trPr>
          <w:trHeight w:val="50" w:hRule="atLeast"/>
          <w:cantSplit w:val="1"/>
        </w:trPr>
        <w:tc>
          <w:tcPr>
            <w:tcW w:w="2000" w:type="dxa"/>
            <w:vMerge w:val="continue"/>
          </w:tcPr>
          <w:p>
            <w:pPr/>
            <w:r>
              <w:rPr/>
              <w:t xml:space="preserve"/>
            </w:r>
          </w:p>
        </w:tc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Capacidade:</w:t>
            </w:r>
          </w:p>
        </w:tc>
        <w:tc>
          <w:tcPr>
            <w:tcW w:w="5050" w:type="dxa"/>
          </w:tcPr>
          <w:p>
            <w:pPr>
              <w:jc w:val="center"/>
            </w:pPr>
            <w:r>
              <w:rPr/>
              <w:t xml:space="preserve">20</w:t>
            </w:r>
          </w:p>
        </w:tc>
      </w:tr>
      <w:tr>
        <w:trPr>
          <w:trHeight w:val="50" w:hRule="atLeast"/>
          <w:cantSplit w:val="1"/>
        </w:trPr>
        <w:tc>
          <w:tcPr>
            <w:tcW w:w="2000" w:type="dxa"/>
            <w:vMerge w:val="continue"/>
          </w:tcPr>
          <w:p>
            <w:pPr/>
            <w:r>
              <w:rPr/>
              <w:t xml:space="preserve"> </w:t>
            </w:r>
          </w:p>
        </w:tc>
        <w:tc>
          <w:tcPr>
            <w:tcW w:w="2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Percussão:</w:t>
            </w:r>
          </w:p>
        </w:tc>
        <w:tc>
          <w:tcPr>
            <w:tcW w:w="5050" w:type="dxa"/>
          </w:tcPr>
          <w:p>
            <w:pPr>
              <w:jc w:val="center"/>
            </w:pPr>
            <w:r>
              <w:rPr/>
              <w:t xml:space="preserve">Direta com percutor fixo ao ferrolho</w:t>
            </w:r>
          </w:p>
        </w:tc>
      </w:tr>
      <w:tr>
        <w:trPr>
          <w:trHeight w:val="50" w:hRule="atLeast"/>
          <w:cantSplit w:val="1"/>
        </w:trPr>
        <w:tc>
          <w:tcPr>
            <w:tcW w:w="2000" w:type="dxa"/>
            <w:vMerge w:val="continue"/>
          </w:tcPr>
          <w:p>
            <w:pPr/>
            <w:r>
              <w:rPr/>
              <w:t xml:space="preserve"/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Sistema de disparo:</w:t>
            </w:r>
          </w:p>
        </w:tc>
        <w:tc>
          <w:tcPr>
            <w:tcW w:w="5050" w:type="dxa"/>
          </w:tcPr>
          <w:p>
            <w:pPr>
              <w:jc w:val="center"/>
            </w:pPr>
            <w:r>
              <w:rPr/>
              <w:t xml:space="preserve">Movimento duplo(ação simples + dupla)</w:t>
            </w:r>
          </w:p>
        </w:tc>
      </w:tr>
      <w:tr>
        <w:trPr>
          <w:trHeight w:val="50" w:hRule="atLeast"/>
          <w:cantSplit w:val="1"/>
        </w:trPr>
        <w:tc>
          <w:tcPr>
            <w:tcW w:w="2000" w:type="dxa"/>
            <w:vMerge w:val="restart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Outras Características</w:t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Cabo:</w:t>
            </w:r>
          </w:p>
        </w:tc>
        <w:tc>
          <w:tcPr>
            <w:tcW w:w="5050" w:type="dxa"/>
          </w:tcPr>
          <w:p>
            <w:pPr>
              <w:jc w:val="center"/>
            </w:pPr>
            <w:r>
              <w:rPr/>
              <w:t xml:space="preserve">Material sintético</w:t>
            </w:r>
          </w:p>
        </w:tc>
      </w:tr>
      <w:tr>
        <w:trPr>
          <w:trHeight w:val="50" w:hRule="atLeast"/>
          <w:cantSplit w:val="1"/>
        </w:trPr>
        <w:tc>
          <w:tcPr>
            <w:tcW w:w="2000" w:type="dxa"/>
            <w:vMerge w:val="continue"/>
          </w:tcPr>
          <w:p>
            <w:pPr/>
            <w:r>
              <w:rPr/>
              <w:t xml:space="preserve"/>
            </w:r>
          </w:p>
        </w:tc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Acabamento:</w:t>
            </w:r>
          </w:p>
        </w:tc>
        <w:tc>
          <w:tcPr>
            <w:tcW w:w="5050" w:type="dxa"/>
          </w:tcPr>
          <w:p>
            <w:pPr>
              <w:jc w:val="center"/>
            </w:pPr>
            <w:r>
              <w:rPr/>
              <w:t xml:space="preserve">Emborrachado</w:t>
            </w:r>
          </w:p>
        </w:tc>
      </w:tr>
      <w:tr>
        <w:trPr>
          <w:trHeight w:val="50" w:hRule="atLeast"/>
          <w:cantSplit w:val="1"/>
        </w:trPr>
        <w:tc>
          <w:tcPr>
            <w:tcW w:w="2000" w:type="dxa"/>
            <w:vMerge w:val="continue"/>
          </w:tcPr>
          <w:p>
            <w:pPr/>
            <w:r>
              <w:rPr/>
              <w:t xml:space="preserve"/>
            </w:r>
          </w:p>
        </w:tc>
        <w:tc>
          <w:tcPr>
            <w:tcW w:w="2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Medidas:</w:t>
            </w:r>
          </w:p>
        </w:tc>
        <w:tc>
          <w:tcPr>
            <w:tcW w:w="5050" w:type="dxa"/>
          </w:tcPr>
          <w:p>
            <w:pPr>
              <w:jc w:val="center"/>
            </w:pPr>
            <w:r>
              <w:rPr/>
              <w:t xml:space="preserve">Comprimento 1,231mm Altura 1,231 mm</w:t>
            </w:r>
          </w:p>
        </w:tc>
      </w:tr>
      <w:tr>
        <w:trPr>
          <w:trHeight w:val="50" w:hRule="atLeast"/>
          <w:cantSplit w:val="1"/>
        </w:trPr>
        <w:tc>
          <w:tcPr>
            <w:tcW w:w="2000" w:type="dxa"/>
            <w:vMerge w:val="continue"/>
          </w:tcPr>
          <w:p>
            <w:pPr/>
            <w:r>
              <w:rPr/>
              <w:t xml:space="preserve"/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Estado de conservação:</w:t>
            </w:r>
          </w:p>
        </w:tc>
        <w:tc>
          <w:tcPr>
            <w:tcW w:w="5050" w:type="dxa"/>
          </w:tcPr>
          <w:p>
            <w:pPr>
              <w:jc w:val="center"/>
            </w:pPr>
            <w:r>
              <w:rPr/>
              <w:t xml:space="preserve">Regular</w:t>
            </w:r>
          </w:p>
        </w:tc>
      </w:tr>
    </w:tbl>
    <w:p/>
    <w:p>
      <w:pPr/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b) Funcionamento e Eficiência: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Submetida esta arma de fogo a prova de disparo foi observado o funcionamento dos seus mecanismos, porém a mesma não percutiu eficientemente os estojos a fim de deflagrar a munição, não estando apta para realização de disparos, podendo ainda ser utilizada como instrumento contundente e/ou de intimidação.</w:t>
      </w:r>
    </w:p>
    <w:p/>
    <w:p/>
    <w:tbl>
      <w:tblGrid>
        <w:gridCol/>
        <w:gridCol/>
      </w:tblGrid>
      <w:tblPr>
        <w:tblStyle w:val="tabela2img"/>
      </w:tblPr>
      <w:tr>
        <w:trPr>
          <w:trHeight w:val="10" w:hRule="atLeast"/>
          <w:tblHeader w:val="1"/>
        </w:trPr>
        <w:tc>
          <w:tcPr>
            <w:shd w:val="clear" w:fill="999999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 Tomadas fotográficas Revólver</w:t>
            </w:r>
          </w:p>
        </w:tc>
      </w:tr>
      <w:tr>
        <w:trPr>
          <w:trHeight w:val="10" w:hRule="atLeast"/>
          <w:cantSplit w:val="1"/>
        </w:trPr>
        <w:tc>
          <w:tcPr/>
          <w:p>
            <w:pPr>
              <w:jc w:val="center"/>
            </w:pPr>
            <w:r>
              <w:pict>
                <v:shape type="#_x0000_t75" style="width:300pt; height:250pt; margin-left:0pt; margin-top:0pt; mso-position-horizontal:left; mso-position-vertical:top; mso-position-horizontal-relative:char; mso-position-vertical-relative:line;">
                  <w10:wrap type="inline"/>
                  <v:imagedata r:id="rId9" o:title=""/>
                </v:shape>
              </w:pic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pict>
                <v:shape type="#_x0000_t75" style="width:150pt; height:150pt; margin-left:0pt; margin-top:0pt; mso-position-horizontal:left; mso-position-vertical:top; mso-position-horizontal-relative:char; mso-position-vertical-relative:line;">
                  <w10:wrap type="inline"/>
                  <v:imagedata r:id="rId10" o:title=""/>
                </v:shape>
              </w:pict>
            </w:r>
          </w:p>
        </w:tc>
        <w:tc>
          <w:tcPr/>
          <w:p>
            <w:pPr>
              <w:jc w:val="center"/>
            </w:pPr>
            <w:r>
              <w:pict>
                <v:shape type="#_x0000_t75" style="width:150pt; height:150pt; margin-left:0pt; margin-top:0pt; mso-position-horizontal:left; mso-position-vertical:top; mso-position-horizontal-relative:char; mso-position-vertical-relative:line;">
                  <w10:wrap type="inline"/>
                  <v:imagedata r:id="rId11" o:title=""/>
                </v:shape>
              </w:pict>
            </w:r>
          </w:p>
        </w:tc>
      </w:tr>
    </w:tbl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/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/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4. CONSIDERAÇÕES FINAIS: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O material descrito neste documento, após examinado, foi devidamente identificado, embalado e lacrado com os lacres nº 54353543 Arma AF-A, (Estojos recebidos deflagrados), conforme requerido pelos artigos 158-A a 158-F do Código de Processo Penal (Lei nº 13.964/2019), e encaminhado para a Central de Custódia da Polícia Científica do Paraná.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5. ENCERRAMENTO: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Este laudo foi redigido pelo Perito que realizou o exame e que o subscreve digitalmente em </w:t>
      </w:r>
      <w:r>
        <w:fldChar w:fldCharType="begin"/>
      </w:r>
      <w:r>
        <w:instrText xml:space="preserve"> NUMPAGES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página(s).  E são essas as declarações que em sua consciência tem o Perito a fazer. E por nada mais haver, deu-se por findo o exame solicitado, que de tudo se lavrou o presente Laudo, emitido através do Sistema de Gestão de Documentos e Laudos (GDL) conforme Instrução Normativa nº 001/2020-PCP, visando atender às deliberações da Autoridade requisitante.</w:t>
      </w:r>
      <w:br/>
      <w:br/>
      <w:r>
        <w:rPr/>
        <w:t xml:space="preserve"/>
      </w:r>
    </w:p>
    <w:tbl>
      <w:tblGrid>
        <w:gridCol/>
      </w:tblGrid>
      <w:tblPr>
        <w:tblStyle w:val="tabela"/>
      </w:tblPr>
      <w:tr>
        <w:trPr/>
        <w:tc>
          <w:tcPr/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Usuário Admin</w:t>
            </w:r>
          </w:p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Perito Criminal – Seção de Balística Forense</w:t>
            </w:r>
          </w:p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UETC Visconde – Polícia Científica do Paraná</w:t>
            </w:r>
          </w:p>
        </w:tc>
      </w:tr>
    </w:tbl>
    <w:sectPr>
      <w:headerReference w:type="default" r:id="rId12"/>
      <w:footerReference w:type="default" r:id="rId13"/>
      <w:pgSz w:orient="portrait" w:w="11905.511811023622" w:h="16837.79527559055"/>
      <w:pgMar w:top="1440" w:right="1133.8582677165352" w:bottom="0" w:left="1700.787401574803" w:header="1547.7165354330707" w:footer="198.42519685039366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/>
  <w:p>
    <w:pPr>
      <w:pStyle w:val="right"/>
    </w:pPr>
    <w:r>
      <w:rPr>
        <w:rFonts w:ascii="arial" w:hAnsi="arial" w:eastAsia="arial" w:cs="arial"/>
        <w:sz w:val="20"/>
        <w:szCs w:val="20"/>
        <w:b w:val="1"/>
        <w:bCs w:val="1"/>
      </w:rPr>
      <w:t xml:space="preserve">FLS. </w:t>
    </w:r>
    <w:r>
      <w:fldChar w:fldCharType="begin"/>
    </w:r>
    <w:r>
      <w:rPr>
        <w:rFonts w:ascii="arial" w:hAnsi="arial" w:eastAsia="arial" w:cs="arial"/>
        <w:sz w:val="20"/>
        <w:szCs w:val="20"/>
        <w:b w:val="1"/>
        <w:bCs w:val="1"/>
      </w:rPr>
      <w:instrText xml:space="preserve">PAGE</w:instrText>
    </w:r>
    <w:r>
      <w:fldChar w:fldCharType="separate"/>
    </w:r>
    <w:r>
      <w:fldChar w:fldCharType="end"/>
    </w:r>
  </w:p>
  <w:p>
    <w:pPr>
      <w:jc w:val="end"/>
    </w:pPr>
    <w:r>
      <w:rPr>
        <w:rFonts w:ascii="arial" w:hAnsi="arial" w:eastAsia="arial" w:cs="arial"/>
        <w:sz w:val="20"/>
        <w:szCs w:val="20"/>
        <w:b w:val="1"/>
        <w:bCs w:val="1"/>
      </w:rPr>
      <w:t xml:space="preserve">LAUDO Nº 3123/2023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pt-BR" w:eastAsia="x-none" w:bidi="x-none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  <w:lang w:val="pt-BR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right">
    <w:name w:val="right"/>
    <w:basedOn w:val="Normal"/>
    <w:pPr>
      <w:jc w:val="end"/>
      <w:spacing w:after="0"/>
    </w:pPr>
  </w:style>
  <w:style w:type="table" w:customStyle="1" w:styleId="tabela">
    <w:name w:val="tabela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777777"/>
        <w:left w:val="single" w:sz="10" w:color="777777"/>
        <w:right w:val="single" w:sz="10" w:color="777777"/>
        <w:bottom w:val="single" w:sz="10" w:color="777777"/>
        <w:insideH w:val="single" w:sz="10" w:color="777777"/>
        <w:insideV w:val="single" w:sz="10" w:color="777777"/>
      </w:tblBorders>
    </w:tblPr>
    <w:tblStylePr w:type="firstRow">
      <w:tcPr>
        <w:tcPr>
          <w:shd w:val="clear" w:fill=" #F0FFFF"/>
        </w:tcPr>
      </w:tcPr>
    </w:tblStylePr>
  </w:style>
  <w:style w:type="table" w:customStyle="1" w:styleId="tabela2img">
    <w:name w:val="tabela2img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777777"/>
        <w:left w:val="single" w:sz="10" w:color="777777"/>
        <w:right w:val="single" w:sz="10" w:color="777777"/>
        <w:bottom w:val="single" w:sz="10" w:color="777777"/>
        <w:insideH w:val="single" w:sz="10" w:color="777777"/>
        <w:insideV w:val="single" w:sz="10" w:color="777777"/>
      </w:tblBorders>
    </w:tblPr>
    <w:tblStylePr w:type="firstRow">
      <w:tcPr>
        <w:tcPr>
          <w:shd w:val="clear" w:fill=" #F0FFFF"/>
        </w:tcPr>
      </w:tcPr>
    </w:tblStylePr>
  </w:style>
  <w:style w:type="paragraph" w:customStyle="1" w:styleId="center">
    <w:name w:val="center"/>
    <w:basedOn w:val="Normal"/>
    <w:pPr>
      <w:jc w:val="center"/>
      <w:spacing w:before="720" w:after="481.8897637795275"/>
    </w:pPr>
  </w:style>
  <w:style w:type="paragraph" w:customStyle="1" w:styleId="justify">
    <w:name w:val="justify"/>
    <w:basedOn w:val="Normal"/>
    <w:pPr>
      <w:jc w:val="both"/>
      <w:ind w:left="0" w:right="0" w:firstLine="1133.8582677165352"/>
      <w:spacing w:after="0" w:line="296.6929133858268" w:lineRule="auto"/>
    </w:pPr>
  </w:style>
  <w:style w:type="paragraph" w:customStyle="1" w:styleId="justifyExam">
    <w:name w:val="justifyExam"/>
    <w:basedOn w:val="Normal"/>
    <w:pPr>
      <w:jc w:val="both"/>
      <w:ind w:left="0" w:right="0" w:firstLine="1133.8582677165352"/>
      <w:spacing w:before="198.42519685039366" w:after="198.42519685039366"/>
    </w:pPr>
  </w:style>
  <w:style w:type="table" w:customStyle="1" w:styleId="tabelaArmas">
    <w:name w:val="tabelaArmas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999999"/>
        <w:left w:val="single" w:sz="10" w:color="999999"/>
        <w:right w:val="single" w:sz="10" w:color="999999"/>
        <w:bottom w:val="single" w:sz="10" w:color="999999"/>
        <w:insideH w:val="single" w:sz="10" w:color="999999"/>
        <w:insideV w:val="single" w:sz="10" w:color="999999"/>
      </w:tblBorders>
    </w:tblPr>
    <w:tblStylePr w:type="firstRow">
      <w:tcPr>
        <w:tcPr>
          <w:shd w:val="clear" w:fill=" #F0F0F0"/>
        </w:tcPr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jpg"/><Relationship Id="rId8" Type="http://schemas.openxmlformats.org/officeDocument/2006/relationships/image" Target="media/section_image2.jpg"/><Relationship Id="rId9" Type="http://schemas.openxmlformats.org/officeDocument/2006/relationships/image" Target="media/section_image3.png"/><Relationship Id="rId10" Type="http://schemas.openxmlformats.org/officeDocument/2006/relationships/image" Target="media/section_image4.png"/><Relationship Id="rId11" Type="http://schemas.openxmlformats.org/officeDocument/2006/relationships/image" Target="media/section_image5.png"/><Relationship Id="rId12" Type="http://schemas.openxmlformats.org/officeDocument/2006/relationships/header" Target="header1.xml"/><Relationship Id="rId1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2023-01-27T17:15:20+00:00</dcterms:created>
  <dcterms:modified xsi:type="dcterms:W3CDTF">2023-01-27T17:15:20+00:00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