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cinco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17/01/2023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 – DADOS DA INVESTIGAÇÃO</w:t>
            </w:r>
          </w:p>
        </w:tc>
      </w:tr>
      <w:tr>
        <w:trPr>
          <w:trHeight w:val="50" w:hRule="atLeast"/>
        </w:trPr>
        <w:tc>
          <w:tcPr>
            <w:tcW w:w="1000" w:type="dxa"/>
          </w:tcPr>
          <w:p>
            <w:pPr>
              <w:jc w:val="center"/>
            </w:pPr>
            <w:r>
              <w:rPr>
                <w:b w:val="1"/>
                <w:bCs w:val="1"/>
              </w:rPr>
              <w:t xml:space="preserve">Em poder de:</w:t>
            </w:r>
          </w:p>
        </w:tc>
        <w:tc>
          <w:tcPr>
            <w:tcW w:w="2000" w:type="dxa"/>
          </w:tcPr>
          <w:p>
            <w:pPr/>
            <w:r>
              <w:rPr/>
              <w:t xml:space="preserve"/>
            </w:r>
          </w:p>
        </w:tc>
      </w:tr>
      <w:tr>
        <w:trPr>
          <w:trHeight w:val="50" w:hRule="atLeast"/>
        </w:trPr>
        <w:tc>
          <w:tcPr>
            <w:tcW w:w="3050" w:type="dxa"/>
          </w:tcPr>
          <w:p>
            <w:pPr>
              <w:jc w:val="center"/>
            </w:pPr>
            <w:r>
              <w:rPr>
                <w:b w:val="1"/>
                <w:bCs w:val="1"/>
              </w:rPr>
              <w:t xml:space="preserve">Data da Ocorrência:</w:t>
            </w:r>
          </w:p>
        </w:tc>
        <w:tc>
          <w:tcPr>
            <w:tcW w:w="2000" w:type="dxa"/>
          </w:tcPr>
          <w:p>
            <w:pPr/>
            <w:r>
              <w:rPr/>
              <w:t xml:space="preserve">17/01/2023</w:t>
            </w:r>
          </w:p>
        </w:tc>
        <w:tc>
          <w:tcPr>
            <w:tcW w:w="1000" w:type="dxa"/>
          </w:tcPr>
          <w:p>
            <w:pPr>
              <w:jc w:val="center"/>
            </w:pPr>
            <w:r>
              <w:rPr>
                <w:b w:val="1"/>
                <w:bCs w:val="1"/>
              </w:rPr>
              <w:t xml:space="preserve">Local:</w:t>
            </w:r>
          </w:p>
        </w:tc>
        <w:tc>
          <w:tcPr>
            <w:tcW w:w="3050" w:type="dxa"/>
          </w:tcPr>
          <w:p>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r>
              <w:rPr/>
              <w:t xml:space="preserve">yuytutyu</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.22LR</w:t>
            </w:r>
          </w:p>
        </w:tc>
        <w:tc>
          <w:tcPr>
            <w:tcW w:w="800" w:type="dxa"/>
          </w:tcPr>
          <w:p>
            <w:pPr>
              <w:jc w:val="center"/>
            </w:pPr>
            <w:r>
              <w:rPr/>
              <w:t xml:space="preserve">CBC</w:t>
            </w:r>
          </w:p>
        </w:tc>
        <w:tc>
          <w:tcPr/>
          <w:p>
            <w:pPr>
              <w:jc w:val="center"/>
            </w:pPr>
            <w:r>
              <w:rPr/>
              <w:t xml:space="preserve">Brasileira</w:t>
            </w:r>
          </w:p>
        </w:tc>
        <w:tc>
          <w:tcPr/>
          <w:p>
            <w:pPr/>
            <w:r>
              <w:rPr/>
              <w:t xml:space="preserve">???</w:t>
            </w:r>
          </w:p>
        </w:tc>
        <w:tc>
          <w:tcPr/>
          <w:p>
            <w:pPr>
              <w:jc w:val="center"/>
            </w:pPr>
            <w:r>
              <w:rPr/>
              <w:t xml:space="preserve">latonado</w:t>
            </w:r>
          </w:p>
        </w:tc>
        <w:tc>
          <w:tcPr/>
          <w:p>
            <w:pPr>
              <w:jc w:val="center"/>
            </w:pPr>
            <w:r>
              <w:rPr/>
              <w:t xml:space="preserve">latonada</w:t>
            </w:r>
          </w:p>
        </w:tc>
        <w:tc>
          <w:tcPr/>
          <w:p>
            <w:pPr>
              <w:jc w:val="center"/>
            </w:pPr>
            <w:r>
              <w:rPr/>
              <w:t xml:space="preserve">fgdfgsdfg</w:t>
            </w:r>
          </w:p>
        </w:tc>
      </w:tr>
    </w:tbl>
    <w:p/>
    <w:p>
      <w:pPr>
        <w:pStyle w:val="justify"/>
      </w:pPr>
      <w:r>
        <w:rPr>
          <w:rFonts w:ascii="Arial" w:hAnsi="Arial" w:eastAsia="Arial" w:cs="Arial"/>
          <w:sz w:val="24"/>
          <w:szCs w:val="24"/>
          <w:b w:val="0"/>
          <w:bCs w:val="0"/>
        </w:rPr>
        <w:t xml:space="preserve">Os cartuchos percutidos foram retornados à Central de Custódia, devidamente embalados,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Nestas condições, verificou-se estar a munição eficiente para a realização de tiros.</w:t>
      </w:r>
    </w:p>
    <w:p/>
    <w:p>
      <w:pPr>
        <w:pStyle w:val="justify"/>
      </w:pPr>
      <w:r>
        <w:rPr>
          <w:rFonts w:ascii="Arial" w:hAnsi="Arial" w:eastAsia="Arial" w:cs="Arial"/>
          <w:sz w:val="24"/>
          <w:szCs w:val="24"/>
          <w:b w:val="1"/>
          <w:bCs w:val="1"/>
        </w:rPr>
        <w:t xml:space="preserve">DA ARMA AF-A - Beretta 45254 – Lacre 453453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999999"/>
          </w:tcPr>
          <w:p>
            <w:pPr>
              <w:jc w:val="center"/>
            </w:pPr>
            <w:r>
              <w:rPr>
                <w:b w:val="1"/>
                <w:bCs w:val="1"/>
              </w:rPr>
              <w:t xml:space="preserve">TABELA 3 – Descrição da Garrucha Lacre Nº453453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45254</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sem número de série aparente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1,232mm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da boca do cano:</w:t>
            </w:r>
          </w:p>
        </w:tc>
        <w:tc>
          <w:tcPr>
            <w:tcW w:w="5050" w:type="dxa"/>
          </w:tcPr>
          <w:p>
            <w:pPr>
              <w:jc w:val="center"/>
            </w:pPr>
            <w:r>
              <w:rPr/>
              <w:t xml:space="preserve">1,232mm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oculto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total1,233</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Submetida esta arma de fogo a prova de disparo foi observado o funcionamento dos seus mecanismos, porém a mesma não percutiu eficientemente os estojos a fim de deflagrar a munição, não estando apta para realização de disparos, podendo ainda ser utilizada como instrumento contundente e/ou de intimidação.</w:t>
      </w:r>
    </w:p>
    <w:p/>
    <w:tbl>
      <w:tblGrid>
        <w:gridCol/>
        <w:gridCol/>
      </w:tblGrid>
      <w:tblPr>
        <w:tblStyle w:val="tabela2img"/>
      </w:tblPr>
      <w:tr>
        <w:trPr>
          <w:trHeight w:val="10" w:hRule="atLeast"/>
        </w:trPr>
        <w:tc>
          <w:tcPr>
            <w:shd w:val="clear" w:fill="999999"/>
          </w:tcPr>
          <w:p>
            <w:pPr>
              <w:jc w:val="center"/>
            </w:pPr>
            <w:r>
              <w:rPr>
                <w:b w:val="1"/>
                <w:bCs w:val="1"/>
              </w:rPr>
              <w:t xml:space="preserve"> Tomadas fotográficas da Garrucha</w:t>
            </w:r>
          </w:p>
        </w:tc>
      </w:tr>
      <w:tr>
        <w:trPr>
          <w:trHeight w:val="10" w:hRule="atLeast"/>
          <w:cantSplit w:val="1"/>
        </w:trPr>
        <w:tc>
          <w:tcPr/>
          <w:p>
            <w:pPr>
              <w:jc w:val="center"/>
            </w:pPr>
            <w:r>
              <w:pict>
                <v:shape type="#_x0000_t75" style="width:300pt; height:300pt; margin-left:0pt; margin-top:0pt; mso-position-horizontal:left; mso-position-vertical:top; mso-position-horizontal-relative:char; mso-position-vertical-relative:line;">
                  <w10:wrap type="inline"/>
                  <v:imagedata r:id="rId7" o:title=""/>
                </v:shape>
              </w:pic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453453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rFonts w:ascii="italic" w:hAnsi="italic" w:eastAsia="italic" w:cs="italic"/>
                <w:sz w:val="28"/>
                <w:szCs w:val="28"/>
                <w:b w:val="1"/>
                <w:bCs w:val="1"/>
              </w:rPr>
              <w:t xml:space="preserve">Usuário Admin</w:t>
            </w:r>
          </w:p>
        </w:tc>
      </w:tr>
      <w:tr>
        <w:trPr/>
        <w:tc>
          <w:tcPr/>
          <w:p>
            <w:pPr>
              <w:jc w:val="center"/>
            </w:pPr>
            <w:r>
              <w:rPr>
                <w:rFonts w:ascii="italic" w:hAnsi="italic" w:eastAsia="italic" w:cs="italic"/>
                <w:sz w:val="28"/>
                <w:szCs w:val="28"/>
                <w:b w:val="1"/>
                <w:bCs w:val="1"/>
              </w:rPr>
              <w:t xml:space="preserve">Perito Criminal – Seção de Balística Forense</w:t>
            </w:r>
          </w:p>
        </w:tc>
      </w:tr>
      <w:tr>
        <w:trPr/>
        <w:tc>
          <w:tcPr/>
          <w:p>
            <w:pPr>
              <w:jc w:val="center"/>
            </w:pPr>
            <w:r>
              <w:rPr>
                <w:rFonts w:ascii="italic" w:hAnsi="italic" w:eastAsia="italic" w:cs="italic"/>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345354/2023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2023-01-11T17:31:55+00:00</dcterms:created>
  <dcterms:modified xsi:type="dcterms:W3CDTF">2023-01-11T17:31:55+00:00</dcterms:modified>
</cp:coreProperties>
</file>

<file path=docProps/custom.xml><?xml version="1.0" encoding="utf-8"?>
<Properties xmlns="http://schemas.openxmlformats.org/officeDocument/2006/custom-properties" xmlns:vt="http://schemas.openxmlformats.org/officeDocument/2006/docPropsVTypes"/>
</file>