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18/01/2023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18/01/2023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tbl>
      <w:tblGrid>
        <w:gridCol/>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Revólver</w:t>
            </w:r>
          </w:p>
        </w:tc>
        <w:tc>
          <w:tcPr/>
          <w:p>
            <w:pPr>
              <w:jc w:val="center"/>
            </w:pPr>
            <w:r>
              <w:rPr/>
              <w:t xml:space="preserve">1</w:t>
            </w:r>
          </w:p>
        </w:tc>
        <w:tc>
          <w:tcPr/>
          <w:p>
            <w:pPr>
              <w:jc w:val="center"/>
            </w:pPr>
            <w:r>
              <w:rPr/>
              <w:t xml:space="preserve">necroterio</w:t>
            </w:r>
          </w:p>
        </w:tc>
        <w:tc>
          <w:tcPr/>
          <w:p>
            <w:pPr>
              <w:jc w:val="center"/>
            </w:pPr>
            <w:r>
              <w:rPr/>
              <w:t xml:space="preserve">3513/2023</w:t>
            </w:r>
          </w:p>
        </w:tc>
        <w:tc>
          <w:tcPr/>
          <w:p>
            <w:pPr>
              <w:jc w:val="center"/>
            </w:pPr>
            <w:r>
              <w:rPr/>
              <w:t xml:space="preserve">35135/2023</w:t>
            </w:r>
          </w:p>
        </w:tc>
        <w:tc>
          <w:tcPr/>
          <w:p>
            <w:pPr>
              <w:jc w:val="center"/>
            </w:pPr>
            <w:r>
              <w:rPr/>
              <w:t xml:space="preserve">213123</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
      <w:pPr>
        <w:pStyle w:val="justify"/>
      </w:pPr>
      <w:r>
        <w:rPr>
          <w:rFonts w:ascii="Arial" w:hAnsi="Arial" w:eastAsia="Arial" w:cs="Arial"/>
          <w:sz w:val="24"/>
          <w:szCs w:val="24"/>
          <w:b w:val="1"/>
          <w:bCs w:val="1"/>
        </w:rPr>
        <w:t xml:space="preserve">DA ARMA AF-A - Beretta 45645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999999"/>
          </w:tcPr>
          <w:p>
            <w:pPr>
              <w:jc w:val="center"/>
            </w:pPr>
            <w:r>
              <w:rPr>
                <w:b w:val="1"/>
                <w:bCs w:val="1"/>
              </w:rPr>
              <w:t xml:space="preserve">TABELA 3 – Descrição da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sem número de série aparente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total1,231</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Pr/>
      <w:r>
        <w:rPr>
          <w:rFonts w:ascii="Arial" w:hAnsi="Arial" w:eastAsia="Arial" w:cs="Arial"/>
          <w:sz w:val="24"/>
          <w:szCs w:val="24"/>
          <w:b w:val="1"/>
          <w:bCs w:val="1"/>
        </w:rPr>
        <w:t xml:space="preserve">c) Coleta de Padrões Balísticos:</w:t>
      </w:r>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tbl>
      <w:tblGrid>
        <w:gridCol/>
      </w:tblGrid>
      <w:tblPr>
        <w:tblStyle w:val="tabela2img"/>
      </w:tblPr>
      <w:tr>
        <w:trPr>
          <w:trHeight w:val="10" w:hRule="atLeast"/>
        </w:trPr>
        <w:tc>
          <w:tcPr>
            <w:shd w:val="clear" w:fill="999999"/>
          </w:tcPr>
          <w:p>
            <w:pPr>
              <w:jc w:val="center"/>
            </w:pPr>
            <w:r>
              <w:rPr>
                <w:b w:val="1"/>
                <w:bCs w:val="1"/>
              </w:rPr>
              <w:t xml:space="preserve"> Tomadas fotográficas da Revólver</w:t>
            </w:r>
          </w:p>
        </w:tc>
      </w:tr>
      <w:tr>
        <w:trPr>
          <w:trHeight w:val="10" w:hRule="atLeast"/>
          <w:cantSplit w:val="1"/>
        </w:trPr>
      </w:tr>
    </w:tbl>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35135/2023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2023-01-17T14:46:02+00:00</dcterms:created>
  <dcterms:modified xsi:type="dcterms:W3CDTF">2023-01-17T14:46:02+00:00</dcterms:modified>
</cp:coreProperties>
</file>

<file path=docProps/custom.xml><?xml version="1.0" encoding="utf-8"?>
<Properties xmlns="http://schemas.openxmlformats.org/officeDocument/2006/custom-properties" xmlns:vt="http://schemas.openxmlformats.org/officeDocument/2006/docPropsVTypes"/>
</file>