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vinte e quatro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ghdfghg</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w:t>
            </w:r>
          </w:p>
        </w:tc>
        <w:tc>
          <w:tcPr/>
          <w:p>
            <w:pPr>
              <w:jc w:val="center"/>
            </w:pPr>
            <w:r>
              <w:rPr/>
              <w:t xml:space="preserve">Cartucho</w:t>
            </w:r>
          </w:p>
        </w:tc>
        <w:tc>
          <w:tcPr/>
          <w:p>
            <w:pPr>
              <w:jc w:val="center"/>
            </w:pPr>
            <w:r>
              <w:rPr/>
              <w:t xml:space="preserve">Aguila</w:t>
            </w:r>
          </w:p>
        </w:tc>
        <w:tc>
          <w:tcPr/>
          <w:p>
            <w:pPr>
              <w:jc w:val="center"/>
            </w:pPr>
            <w:r>
              <w:rPr/>
              <w:t xml:space="preserve">2312</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w:t>
            </w:r>
          </w:p>
        </w:tc>
        <w:tc>
          <w:tcPr/>
          <w:p>
            <w:pPr>
              <w:jc w:val="center"/>
            </w:pPr>
            <w:r>
              <w:rPr/>
              <w:t xml:space="preserve">CHPP</w:t>
            </w:r>
          </w:p>
        </w:tc>
        <w:tc>
          <w:tcPr/>
          <w:p>
            <w:pPr>
              <w:jc w:val="center"/>
            </w:pPr>
            <w:r>
              <w:rPr/>
              <w:t xml:space="preserve">recarregado / pppppp</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2023-01-18T15:05:20+00:00</dcterms:created>
  <dcterms:modified xsi:type="dcterms:W3CDTF">2023-01-18T15:05:20+00:00</dcterms:modified>
</cp:coreProperties>
</file>

<file path=docProps/custom.xml><?xml version="1.0" encoding="utf-8"?>
<Properties xmlns="http://schemas.openxmlformats.org/officeDocument/2006/custom-properties" xmlns:vt="http://schemas.openxmlformats.org/officeDocument/2006/docPropsVTypes"/>
</file>