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10/01/2023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10/01/2023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5465465165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DESCRIÇÃO DOS CARTUCHOS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.22 Curto</w:t>
            </w:r>
          </w:p>
        </w:tc>
        <w:tc>
          <w:tcPr/>
          <w:p>
            <w:pPr/>
            <w:r>
              <w:rPr/>
              <w:t xml:space="preserve">Aguila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2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3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Necrópsia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Necrópsia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camisa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chpp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1243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38</w:t>
            </w:r>
          </w:p>
        </w:tc>
        <w:tc>
          <w:tcPr/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  <w:tc>
          <w:tcPr/>
          <w:p>
            <w:pPr>
              <w:jc w:val="center"/>
            </w:pPr>
            <w:r>
              <w:rPr/>
              <w:t xml:space="preserve">21/ 12</w:t>
            </w:r>
          </w:p>
        </w:tc>
        <w:tc>
          <w:tcPr/>
          <w:p>
            <w:pPr>
              <w:jc w:val="center"/>
            </w:pPr>
            <w:r>
              <w:rPr/>
              <w:t xml:space="preserve">20/ 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sinistrógiro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sinistrógiro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poligonal aprimorado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Médias por toda extensão/ Leves na lateral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lateral/ Leves na base</w:t>
            </w:r>
          </w:p>
        </w:tc>
        <w:tc>
          <w:tcPr/>
          <w:p>
            <w:pPr>
              <w:jc w:val="center"/>
            </w:pPr>
            <w:r>
              <w:rPr/>
              <w:t xml:space="preserve">Leves na ponta/ Leves por toda extensão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madeira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65454/2023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2023-01-09T17:08:37+00:00</dcterms:created>
  <dcterms:modified xsi:type="dcterms:W3CDTF">2023-01-09T17:08:37+00:00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