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7365D"/>
          <w:sz w:val="30"/>
        </w:rPr>
        <w:t>UNIVERSIDAD CATÓLICA DE SANTA MARÍA</w:t>
      </w:r>
    </w:p>
    <w:p>
      <w:pPr>
        <w:jc w:val="center"/>
      </w:pPr>
      <w:r>
        <w:rPr>
          <w:sz w:val="23"/>
        </w:rPr>
        <w:t>Escuela Profesional de Ingeniería de Sistemas</w:t>
      </w:r>
    </w:p>
    <w:p>
      <w:pPr>
        <w:jc w:val="center"/>
      </w:pPr>
      <w:r>
        <w:rPr>
          <w:sz w:val="21"/>
        </w:rPr>
        <w:t>Gestión de Sistemas y Tecnologías de la Información</w:t>
      </w:r>
    </w:p>
    <w:p/>
    <w:p>
      <w:pPr>
        <w:jc w:val="center"/>
      </w:pPr>
      <w:r>
        <w:rPr>
          <w:b/>
          <w:color w:val="1F4E79"/>
          <w:sz w:val="38"/>
        </w:rPr>
        <w:t>REFERENCIA DE DEPENDENCIAS TOGAF Y MATRIZ CR-INT</w:t>
      </w:r>
    </w:p>
    <w:p>
      <w:pPr>
        <w:jc w:val="center"/>
      </w:pPr>
      <w:r>
        <w:rPr>
          <w:b/>
          <w:color w:val="17365D"/>
          <w:sz w:val="26"/>
        </w:rPr>
        <w:t>Uso obligatorio para I-01 - Fase II ITIL 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color w:val="17365D"/>
                <w:sz w:val="18"/>
              </w:rPr>
              <w:t>Proyecto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Plataforma Digital Banco Nacional de Arequipa (BNA)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color w:val="17365D"/>
                <w:sz w:val="18"/>
              </w:rPr>
              <w:t>Comité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Comité de Créditos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color w:val="17365D"/>
                <w:sz w:val="18"/>
              </w:rPr>
              <w:t>Líder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Mathias Cabrera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color w:val="17365D"/>
                <w:sz w:val="18"/>
              </w:rPr>
              <w:t>Fase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II - ITIL 4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color w:val="17365D"/>
                <w:sz w:val="18"/>
              </w:rPr>
              <w:t>Inicio de fase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28/09/2026</w:t>
            </w:r>
          </w:p>
        </w:tc>
      </w:tr>
    </w:tbl>
    <w:p>
      <w:r>
        <w:br w:type="page"/>
      </w:r>
    </w:p>
    <w:p>
      <w:pPr>
        <w:pStyle w:val="Heading1"/>
      </w:pPr>
      <w:r>
        <w:t>1. Regla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7365D"/>
              </w:rPr>
              <w:t xml:space="preserve">Regla: </w:t>
            </w:r>
            <w:r>
              <w:t>Los módulos deben identificar sus servicios ITIL respetando las dependencias y límites ya definidos en Fase I. No se deben crear nuevas conexiones entre módulos sin coordinación previa con el Comité de Créditos.</w:t>
            </w:r>
          </w:p>
        </w:tc>
      </w:tr>
    </w:tbl>
    <w:p>
      <w:pPr>
        <w:pStyle w:val="Heading1"/>
      </w:pPr>
      <w:r>
        <w:t>2. Flujo macro de Créditos</w:t>
      </w:r>
    </w:p>
    <w:p>
      <w:pPr>
        <w:jc w:val="center"/>
      </w:pPr>
      <w:r>
        <w:rPr>
          <w:b/>
          <w:color w:val="1F4E79"/>
          <w:sz w:val="26"/>
        </w:rPr>
        <w:t>CAPTACIÓN  →  SOLICITUD  →  EVALUACIÓN  →  DESEMBOLSO  →  COBRANZA</w:t>
      </w:r>
    </w:p>
    <w:p>
      <w:pPr>
        <w:pStyle w:val="Heading1"/>
      </w:pPr>
      <w:r>
        <w:t>3. Matriz CR-INT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Destino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Finalidad principal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CR-INT-01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Captación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Solicitud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Entregar cliente verificado / perfil preliminar.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CR-INT-02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Solicitud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Evaluación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Enviar expediente completo de solicitud.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CR-INT-03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Evaluación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Solicitud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Retornar resultado y observaciones.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CR-INT-04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Evaluación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Desembolso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Habilitar un crédito aprobado para desembolso.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CR-INT-05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Desembolso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Cuentas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Solicitar/confirmar abono del crédito.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CR-INT-06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Desembolso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Cobranza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Activar obligación luego del desembolso confirmado.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CR-INT-07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Cobranza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Cuentas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Solicitar cargo/aplicación del pago.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CR-INT-08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Home Banking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Cobranza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Iniciar pago de crédito desde canal digital.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CR-INT-09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Captación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Clientes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Validar o referenciar identidad del solicitante.</w:t>
            </w:r>
          </w:p>
        </w:tc>
      </w:tr>
      <w:tr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CR-INT-10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Créditos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Seguridad / Auditoría</w:t>
            </w:r>
          </w:p>
        </w:tc>
        <w:tc>
          <w:tcPr>
            <w:tcW w:type="dxa" w:w="252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Registrar eventos críticos y trazabilidad.</w:t>
            </w:r>
          </w:p>
        </w:tc>
      </w:tr>
    </w:tbl>
    <w:p>
      <w:pPr>
        <w:pStyle w:val="Heading1"/>
      </w:pPr>
      <w:r>
        <w:t>4. Criterios para llenar la ficha ITIL</w:t>
      </w:r>
    </w:p>
    <w:p>
      <w:pPr>
        <w:pStyle w:val="ListBullet"/>
      </w:pPr>
      <w:r>
        <w:t>En Dependencias, colocar solamente módulos realmente necesarios para prestar el servicio.</w:t>
      </w:r>
    </w:p>
    <w:p>
      <w:pPr>
        <w:pStyle w:val="ListBullet"/>
      </w:pPr>
      <w:r>
        <w:t>No declarar Tarjetas como dependencia directa de Créditos si la relación ocurre a través de Home Banking.</w:t>
      </w:r>
    </w:p>
    <w:p>
      <w:pPr>
        <w:pStyle w:val="ListBullet"/>
      </w:pPr>
      <w:r>
        <w:t>No declarar acceso directo de Evaluación al CORE si no está respaldado por la matriz acordada.</w:t>
      </w:r>
    </w:p>
    <w:p>
      <w:pPr>
        <w:pStyle w:val="ListBullet"/>
      </w:pPr>
      <w:r>
        <w:t>Cuando el servicio use datos de otro módulo, debe referenciar al módulo propietario y no asumir propiedad del dato.</w:t>
      </w:r>
    </w:p>
    <w:p>
      <w:pPr>
        <w:pStyle w:val="ListBullet"/>
      </w:pPr>
      <w:r>
        <w:t>Las decisiones pendientes de Fase I deben permanecer como pendientes en la ficha ITIL.</w:t>
      </w:r>
    </w:p>
    <w:p>
      <w:pPr>
        <w:pStyle w:val="Heading1"/>
      </w:pPr>
      <w:r>
        <w:t>5. Pendientes que NO deben convertirse en regla oficial</w:t>
      </w:r>
    </w:p>
    <w:p>
      <w:pPr>
        <w:pStyle w:val="ListBullet"/>
      </w:pPr>
      <w:r>
        <w:t>Umbrales exactos del workflow de Evaluación.</w:t>
      </w:r>
    </w:p>
    <w:p>
      <w:pPr>
        <w:pStyle w:val="ListBullet"/>
      </w:pPr>
      <w:r>
        <w:t>Catálogo final de estados entre Solicitud y Evaluación.</w:t>
      </w:r>
    </w:p>
    <w:p>
      <w:pPr>
        <w:pStyle w:val="ListBullet"/>
      </w:pPr>
      <w:r>
        <w:t>Propietario definitivo del calendario de pagos durante todo el ciclo.</w:t>
      </w:r>
    </w:p>
    <w:p>
      <w:pPr>
        <w:pStyle w:val="ListBullet"/>
      </w:pPr>
      <w:r>
        <w:t>Fórmula/tasa definitiva de mora.</w:t>
      </w:r>
    </w:p>
    <w:p>
      <w:pPr>
        <w:pStyle w:val="ListBullet"/>
      </w:pPr>
      <w:r>
        <w:t>Política completa de reversión de desembolsos.</w:t>
      </w:r>
    </w:p>
    <w:p>
      <w:pPr>
        <w:pStyle w:val="ListBullet"/>
      </w:pPr>
      <w:r>
        <w:t>Estándar final de errores, timeouts y detalles técnicos aún sujetos a Tecnología.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UCSM - Ingeniería de Sistemas - Gestión de Sistemas y Tecnologías de la Información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5"/>
      </w:rPr>
      <w:t>Comité de Créditos - BNA | Fase II ITIL 4 | Referencia TOGAF / CR-INT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