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83652"/>
          <w:sz w:val="30"/>
        </w:rPr>
        <w:t>UNIVERSIDAD CATÓLICA DE SANTA MARÍA</w:t>
      </w:r>
    </w:p>
    <w:p>
      <w:pPr>
        <w:jc w:val="center"/>
      </w:pPr>
      <w:r>
        <w:rPr>
          <w:sz w:val="22"/>
        </w:rPr>
        <w:t>Escuela Profesional de Ingeniería de Sistemas</w:t>
      </w:r>
    </w:p>
    <w:p>
      <w:pPr>
        <w:jc w:val="center"/>
      </w:pPr>
      <w:r>
        <w:rPr>
          <w:sz w:val="20"/>
        </w:rPr>
        <w:t>Gestión de Sistemas y Tecnologías de la Información</w:t>
      </w:r>
    </w:p>
    <w:p/>
    <w:p/>
    <w:p>
      <w:pPr>
        <w:pStyle w:val="Title"/>
        <w:jc w:val="center"/>
      </w:pPr>
      <w:r>
        <w:t>INFORME CONSOLIDADO DE FASE II</w:t>
        <w:br/>
        <w:t>ITIL 4</w:t>
      </w:r>
    </w:p>
    <w:p>
      <w:pPr>
        <w:jc w:val="center"/>
      </w:pPr>
      <w:r>
        <w:rPr>
          <w:b/>
          <w:color w:val="177D83"/>
          <w:sz w:val="25"/>
        </w:rPr>
        <w:t>Línea de Créditos del Banco Nacional de Arequipa (BNA)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736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056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Responsable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Comité de Créditos (transversal)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Líder</w:t>
            </w:r>
          </w:p>
        </w:tc>
        <w:tc>
          <w:tcPr>
            <w:tcW w:type="dxa" w:w="705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Mathias Cabrera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Integrantes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Piero Ponce, Ángel Cruz, Yhosfer Quispe, Sebastián Conde y Álvaro Montoya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Cobertura de esta versión</w:t>
            </w:r>
          </w:p>
        </w:tc>
        <w:tc>
          <w:tcPr>
            <w:tcW w:type="dxa" w:w="705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I-01: servicios TI; I-02 e I-03: propuestas de flujos de valor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Por incorporar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I-04: prácticas; I-05: catálogo final / niveles; I-06: pruebas e integración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Versión / condición</w:t>
            </w:r>
          </w:p>
        </w:tc>
        <w:tc>
          <w:tcPr>
            <w:tcW w:type="dxa" w:w="705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v0.1 – Documento de trabajo para revisión, no informe final aprobado</w:t>
            </w:r>
          </w:p>
        </w:tc>
      </w:tr>
      <w:tr>
        <w:trPr>
          <w:cantSplit/>
        </w:trPr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70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Octubre de 2026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i/>
          <w:sz w:val="18"/>
        </w:rPr>
        <w:t>Trabajo acumulativo: se ampliará con evidencia validada en las actividades restantes.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Este informe reúne el avance documental de la Fase II - ITIL 4 de la Línea de Créditos del BNA. A partir de las cinco fichas de identificación de servicios (I-01), se establece un catálogo preliminar de SRV-CR-01 a SRV-CR-05 y se modelan dos propuestas de flujo de valor: I-02 (Captación, Solicitud y Evaluación) e I-03 (Desembolso y Cobranza). Se mantiene la continuidad con la arquitectura TOGAF de Fase I y las interfaces CR-INT.</w:t>
      </w:r>
    </w:p>
    <w:p>
      <w:r>
        <w:t>El informe distingue lo respaldado por fichas y plan de trabajo de los aspectos todavía no validados. El flujo financiero se representa por medio de Cuentas; el Bus es una capa técnica de integración. Se registra, asimismo, la necesidad de ampliar Captación con la verificación financiera interna/externa exigida por el alcance general del BNA. Las actividades I-04, I-05 e I-06 se reservan para completar prácticas ITIL, niveles de servicio y evidencias reales de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78"/>
      </w:tblGrid>
      <w:tr>
        <w:trPr>
          <w:cantSplit/>
        </w:trPr>
        <w:tc>
          <w:tcPr>
            <w:tcW w:type="dxa" w:w="9878"/>
            <w:shd w:fill="FFF4DC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Estado del documento:  Las cinco fichas existen, pero sus códigos y responsables funcionales aún pueden requerir ratificación. Los flujos I-02/I-03 son consolidaciones preliminares preparadas por el Comité; no se presentan como aprobaciones oficiales ni como pruebas ejecutadas.</w:t>
            </w:r>
          </w:p>
        </w:tc>
      </w:tr>
    </w:tbl>
    <w:p>
      <w:pPr>
        <w:spacing w:after="0"/>
      </w:pPr>
    </w:p>
    <w:p>
      <w:pPr>
        <w:pStyle w:val="Heading1"/>
      </w:pPr>
      <w:r>
        <w:t>Índice de contenido</w:t>
      </w:r>
    </w:p>
    <w:p>
      <w:r>
        <w:t>1.  Introducción, objetivos y alcance</w:t>
      </w:r>
    </w:p>
    <w:p>
      <w:r>
        <w:t>2.  Criterios de consolidación y fuentes</w:t>
      </w:r>
    </w:p>
    <w:p>
      <w:r>
        <w:t>3.  I-01. Servicios TI y valor generado</w:t>
      </w:r>
    </w:p>
    <w:p>
      <w:r>
        <w:t>4.  I-02. Flujo de valor Captación–Solicitud–Evaluación</w:t>
      </w:r>
    </w:p>
    <w:p>
      <w:r>
        <w:t>5.  I-03. Flujo de valor Desembolso–Cobranza</w:t>
      </w:r>
    </w:p>
    <w:p>
      <w:r>
        <w:t>6.  Interoperabilidad, tecnología y control de accesos</w:t>
      </w:r>
    </w:p>
    <w:p>
      <w:r>
        <w:t>7.  Brechas y decisiones pendientes</w:t>
      </w:r>
    </w:p>
    <w:p>
      <w:r>
        <w:t>8.  Plan de incorporación de I-04, I-05 e I-06</w:t>
      </w:r>
    </w:p>
    <w:p>
      <w:r>
        <w:t>9.  Conclusiones y acciones inmediatas</w:t>
      </w:r>
    </w:p>
    <w:p>
      <w:r>
        <w:t>10.  Referencias</w:t>
      </w:r>
    </w:p>
    <w:p>
      <w:pPr>
        <w:pStyle w:val="Heading1"/>
      </w:pPr>
      <w:r>
        <w:t>1. Introducción, objetivos y alcance</w:t>
      </w:r>
    </w:p>
    <w:p>
      <w:r>
        <w:t>La Fase I con TOGAF definió las vistas de arquitectura y la relación entre Captación, Solicitud, Evaluación, Desembolso y Cobranza. La Fase II aplica ITIL 4 para describir el valor de los servicios TI y las condiciones de gestión que permitirán prestarlos y soportarlos. El objetivo de este documento es consolidar lo disponible sin duplicar los informes de cada módulo.</w:t>
      </w:r>
    </w:p>
    <w:p>
      <w:r>
        <w:t>Alcance de esta versión: identificación de cinco servicios, consumidores, entradas, salidas, valor y dependencias; propuesta de dos flujos de valor transversales; registro de decisiones no ratificadas; y preparación de las secciones de operación, niveles de servicio y Testing. No se declara que las APIs estén implementadas, que exista una infraestructura operativa ni que los SLA hayan sido aprobados.</w:t>
      </w:r>
    </w:p>
    <w:p>
      <w:pPr>
        <w:pStyle w:val="Heading1"/>
      </w:pPr>
      <w:r>
        <w:t>2. Criterios de consolidación y fuentes</w:t>
      </w:r>
    </w:p>
    <w:p>
      <w:pPr>
        <w:pStyle w:val="ListBullet"/>
      </w:pPr>
      <w:r>
        <w:t>Una función técnica aislada (p. ej., registrar garantía) no se cuenta automáticamente como servicio independiente cuando contribuye al mismo resultado de negocio.</w:t>
      </w:r>
    </w:p>
    <w:p>
      <w:pPr>
        <w:pStyle w:val="ListBullet"/>
      </w:pPr>
      <w:r>
        <w:t>Los diagramas operativos de las fichas son insumos para los flujos de valor, pero no sustituyen el análisis de la Cadena de Valor del Servicio (SVC) de ITIL 4.</w:t>
      </w:r>
    </w:p>
    <w:p>
      <w:pPr>
        <w:pStyle w:val="ListBullet"/>
      </w:pPr>
      <w:r>
        <w:t>La trazabilidad funcional sigue el sentido de la matriz CR-INT del informe TOGAF; no se inventan integraciones ni propietarios de datos.</w:t>
      </w:r>
    </w:p>
    <w:p>
      <w:pPr>
        <w:pStyle w:val="ListBullet"/>
      </w:pPr>
      <w:r>
        <w:t>La propuesta de stack Python + FastAPI + MySQL se registra como base común, sujeta a las ratificaciones técnicas que correspondan.</w:t>
      </w:r>
    </w:p>
    <w:p>
      <w:pPr>
        <w:pStyle w:val="ListBullet"/>
      </w:pPr>
      <w:r>
        <w:t>Una regla pendiente se presenta como pendiente aun cuando aparezca en un borrador de otro equipo o en una matriz de permisos.</w:t>
      </w:r>
    </w:p>
    <w:p>
      <w:pPr>
        <w:pStyle w:val="Heading1"/>
      </w:pPr>
      <w:r>
        <w:t>3. I-01. Identificación de servicios TI y valor generado</w:t>
      </w:r>
    </w:p>
    <w:p>
      <w:r>
        <w:t>El objetivo de I-01 (28/09–04/10) es identificar los servicios que soportan la Línea de Créditos y el valor para el cliente y el BNA. Se recibieron cinco fichas: una por módulo. Los códigos se utilizan para facilitar la consolidación, con condición preliminar hasta su ratificación.</w:t>
      </w:r>
    </w:p>
    <w:p>
      <w:pPr>
        <w:pStyle w:val="Caption"/>
      </w:pPr>
      <w:r>
        <w:rPr>
          <w:b/>
        </w:rPr>
        <w:t xml:space="preserve">Tabla 1. </w:t>
      </w:r>
      <w:r>
        <w:t>Catálogo preliminar de servicios TI de Créditos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584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Código / módulo</w:t>
            </w:r>
          </w:p>
        </w:tc>
        <w:tc>
          <w:tcPr>
            <w:tcW w:type="dxa" w:w="2448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Servicio y consumidor</w:t>
            </w:r>
          </w:p>
        </w:tc>
        <w:tc>
          <w:tcPr>
            <w:tcW w:type="dxa" w:w="2880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Entrada → salida</w:t>
            </w:r>
          </w:p>
        </w:tc>
        <w:tc>
          <w:tcPr>
            <w:tcW w:type="dxa" w:w="3024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Valor para cliente / BNA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SRV-CR-01</w:t>
              <w:br/>
              <w:t>Captación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Captación de Clientes de Crédito.</w:t>
              <w:br/>
              <w:t>Cliente / Solicitud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Interés y datos iniciales → prospecto y verificación preliminar para Solicitud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Evita reprocesos; favorece datos consistentes y trazables. La comprobación financiera interna/externa debe incorporarse al alcance.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SRV-CR-02</w:t>
              <w:br/>
              <w:t>Solicitud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Gestión de Solicitud de Crédito.</w:t>
              <w:br/>
              <w:t>Asesor / Evaluación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Cliente verificado + condiciones → expediente versionado; resultado de Evaluación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Trámite estructurado para el cliente; expediente uniforme y control de versiones para el BNA.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SRV-CR-03</w:t>
              <w:br/>
              <w:t>Evaluación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Evaluación Crediticia.</w:t>
              <w:br/>
              <w:t>Solicitud / analista / Desembolso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Expediente → APROBADO, OBSERVADO o RECHAZADO y observaciones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Respuesta trazable; evaluación del riesgo y evidencia de la decisión para el banco.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SRV-CR-04</w:t>
              <w:br/>
              <w:t>Desembolso</w:t>
            </w:r>
          </w:p>
        </w:tc>
        <w:tc>
          <w:tcPr>
            <w:tcW w:type="dxa" w:w="2448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Gestión del Desembolso.</w:t>
              <w:br/>
              <w:t>Cliente / operador / Cobranza</w:t>
            </w:r>
          </w:p>
        </w:tc>
        <w:tc>
          <w:tcPr>
            <w:tcW w:type="dxa" w:w="288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Crédito aprobado + cuenta válida → abono confirmado y notificación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Fondos autorizados con control del destino; trazabilidad y prevención de duplicación.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SRV-CR-05</w:t>
              <w:br/>
              <w:t>Cobranza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Cobro de Cuotas de Crédito.</w:t>
              <w:br/>
              <w:t>Cliente / Home Banking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Crédito activo + pago → pago aplicado, saldo y comprobante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Pago flexible y consultable; recuperación y seguimiento de cartera para el BNA.</w:t>
            </w:r>
          </w:p>
        </w:tc>
      </w:tr>
    </w:tbl>
    <w:p>
      <w:pPr>
        <w:spacing w:after="0"/>
      </w:pPr>
    </w:p>
    <w:p>
      <w:pPr>
        <w:pStyle w:val="Heading2"/>
      </w:pPr>
      <w:r>
        <w:t>3.1. Estado por módulo y observaciones de I-01</w:t>
      </w:r>
    </w:p>
    <w:p>
      <w:pPr>
        <w:pStyle w:val="Caption"/>
      </w:pPr>
      <w:r>
        <w:rPr>
          <w:b/>
        </w:rPr>
        <w:t xml:space="preserve">Tabla 2. </w:t>
      </w:r>
      <w:r>
        <w:t>Revisión documental y aspectos por conciliar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1584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Estado del insumo</w:t>
            </w:r>
          </w:p>
        </w:tc>
        <w:tc>
          <w:tcPr>
            <w:tcW w:type="dxa" w:w="6840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Observación prioritaria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Captación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Ficha recibida (I-01).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La ficha se concentra en prospectos/identidad; incorporar y trazar situación financiera interna/externa, central de riesgos y relación con Clientes (CR-INT-09). Su sección de dependencias dice «por confirmar» incluso para relaciones ya presentes en CR-INT.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Solicitud</w:t>
            </w:r>
          </w:p>
        </w:tc>
        <w:tc>
          <w:tcPr>
            <w:tcW w:type="dxa" w:w="1584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Ficha recibida (I-01).</w:t>
            </w:r>
          </w:p>
        </w:tc>
        <w:tc>
          <w:tcPr>
            <w:tcW w:type="dxa" w:w="684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Mantener catálogo final de estados y autoridad del calendario vigente como pendientes.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Evaluación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Ficha recibida (I-01).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No presentar los umbrales de score/ratio propuestos como oficiales; precisar el tratamiento de OBSERVADO.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Desembolso</w:t>
            </w:r>
          </w:p>
        </w:tc>
        <w:tc>
          <w:tcPr>
            <w:tcW w:type="dxa" w:w="1584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Ficha recibida (I-01).</w:t>
            </w:r>
          </w:p>
        </w:tc>
        <w:tc>
          <w:tcPr>
            <w:tcW w:type="dxa" w:w="684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Permisos, resultado incierto, idempotencia, activación de obligación, calendario y reversión por ratificar.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Cobranza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Ficha recibida (I-01).</w:t>
            </w:r>
          </w:p>
        </w:tc>
        <w:tc>
          <w:tcPr>
            <w:tcW w:type="dxa" w:w="68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Definir fórmula/responsable de mora y propiedad del calendario; Home Banking es el canal digital confirmado para el flujo modelado.</w:t>
            </w:r>
          </w:p>
        </w:tc>
      </w:tr>
    </w:tbl>
    <w:p>
      <w:pPr>
        <w:spacing w:after="0"/>
      </w:pPr>
    </w:p>
    <w:p>
      <w:r>
        <w:t>Por ello, I-01 dispone de insumos suficientes para consolidación preliminar, pero el cierre formal requiere atender las observaciones de la Tabla 2 y validar la matriz con los enlaces responsables.</w:t>
      </w:r>
    </w:p>
    <w:p>
      <w:pPr>
        <w:pStyle w:val="Heading1"/>
      </w:pPr>
      <w:r>
        <w:t>4. I-02. Flujo de valor: Captación, Solicitud y Evaluación</w:t>
      </w:r>
    </w:p>
    <w:p>
      <w:r>
        <w:t>Responsables según plan: Ángel Cruz y Yhosfer Quispe. Periodo previsto: 01/10–08/10. La demanda surge cuando un cliente requiere un crédito; el servicio combinado convierte esa necesidad en una solicitud completa y una decisión trazable. Este apartado es una propuesta de consolidación del Comité derivada de las fichas I-01 y deberá validarse con los módulos.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010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i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0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Figura 1. </w:t>
      </w:r>
      <w:r>
        <w:t>Secuencia de prestación que fundamenta el flujo de valor I-02</w:t>
      </w:r>
    </w:p>
    <w:p>
      <w:pPr>
        <w:pStyle w:val="Heading2"/>
      </w:pPr>
      <w:r>
        <w:t>4.1. Actividades y resultados de valor</w:t>
      </w:r>
    </w:p>
    <w:p>
      <w:pPr>
        <w:pStyle w:val="Caption"/>
      </w:pPr>
      <w:r>
        <w:rPr>
          <w:b/>
        </w:rPr>
        <w:t xml:space="preserve">Tabla 3. </w:t>
      </w:r>
      <w:r>
        <w:t>Actividades del flujo I-02 y resultados verificables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13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Tramo</w:t>
            </w:r>
          </w:p>
        </w:tc>
        <w:tc>
          <w:tcPr>
            <w:tcW w:type="dxa" w:w="4824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Actividad principal</w:t>
            </w:r>
          </w:p>
        </w:tc>
        <w:tc>
          <w:tcPr>
            <w:tcW w:type="dxa" w:w="3499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Salida / valor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Captación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Recibir interés; identificar/verificar cliente; completar comprobación financiera interna y externa (ajuste pendiente).</w:t>
            </w:r>
          </w:p>
        </w:tc>
        <w:tc>
          <w:tcPr>
            <w:tcW w:type="dxa" w:w="349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Prospecto y perfil preliminar para Solicitud; menos duplicación de datos.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Solicitud</w:t>
            </w:r>
          </w:p>
        </w:tc>
        <w:tc>
          <w:tcPr>
            <w:tcW w:type="dxa" w:w="4824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Registrar monto, plazo, moneda, pago doble, calendario preliminar y respaldos; versionar y remitir expediente.</w:t>
            </w:r>
          </w:p>
        </w:tc>
        <w:tc>
          <w:tcPr>
            <w:tcW w:type="dxa" w:w="3499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Expediente completo y trazable para Evaluación.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Evaluación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Aplicar workflow según monto y reglas vigentes; analizar observaciones; emitir resultado y devolverlo a Solicitud.</w:t>
            </w:r>
          </w:p>
        </w:tc>
        <w:tc>
          <w:tcPr>
            <w:tcW w:type="dxa" w:w="3499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Decisión APROBADO/OBSERVADO/RECHAZADO; habilitar Desembolso solo si APROBADO.</w:t>
            </w:r>
          </w:p>
        </w:tc>
      </w:tr>
    </w:tbl>
    <w:p>
      <w:pPr>
        <w:spacing w:after="0"/>
      </w:pPr>
    </w:p>
    <w:p>
      <w:pPr>
        <w:pStyle w:val="Heading2"/>
      </w:pPr>
      <w:r>
        <w:t>4.2. Relación con la Cadena de Valor del Servicio de ITIL 4</w:t>
      </w:r>
    </w:p>
    <w:p>
      <w:pPr>
        <w:pStyle w:val="Caption"/>
      </w:pPr>
      <w:r>
        <w:rPr>
          <w:b/>
        </w:rPr>
        <w:t xml:space="preserve">Tabla 4. </w:t>
      </w:r>
      <w:r>
        <w:t>Interpretación de actividades SVC para I-02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33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Actividad SVC</w:t>
            </w:r>
          </w:p>
        </w:tc>
        <w:tc>
          <w:tcPr>
            <w:tcW w:type="dxa" w:w="7603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Contribución propuesta</w:t>
            </w:r>
          </w:p>
        </w:tc>
      </w:tr>
      <w:tr>
        <w:trPr>
          <w:cantSplit/>
        </w:trPr>
        <w:tc>
          <w:tcPr>
            <w:tcW w:type="dxa" w:w="233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Engage</w:t>
            </w:r>
          </w:p>
        </w:tc>
        <w:tc>
          <w:tcPr>
            <w:tcW w:type="dxa" w:w="76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Interacción inicial con el solicitante; consulta y comunicación del estado/resultado.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Design &amp; Transition</w:t>
            </w:r>
          </w:p>
        </w:tc>
        <w:tc>
          <w:tcPr>
            <w:tcW w:type="dxa" w:w="760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Definir expediente, reglas vigentes, criterios de aceptación e interoperabilidad entre módulos.</w:t>
            </w:r>
          </w:p>
        </w:tc>
      </w:tr>
      <w:tr>
        <w:trPr>
          <w:cantSplit/>
        </w:trPr>
        <w:tc>
          <w:tcPr>
            <w:tcW w:type="dxa" w:w="233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Obtain/Build</w:t>
            </w:r>
          </w:p>
        </w:tc>
        <w:tc>
          <w:tcPr>
            <w:tcW w:type="dxa" w:w="76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Preparar los componentes y contratos de integración requeridos; no implica que estén ya construidos.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Deliver &amp; Support</w:t>
            </w:r>
          </w:p>
        </w:tc>
        <w:tc>
          <w:tcPr>
            <w:tcW w:type="dxa" w:w="760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Prestar Captación, Solicitud y Evaluación; manejar observaciones y casos no concluidos.</w:t>
            </w:r>
          </w:p>
        </w:tc>
      </w:tr>
      <w:tr>
        <w:trPr>
          <w:cantSplit/>
        </w:trPr>
        <w:tc>
          <w:tcPr>
            <w:tcW w:type="dxa" w:w="233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76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Mantener objetivos, prioridades, responsables y lineamientos aprobados de Créditos.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Improve</w:t>
            </w:r>
          </w:p>
        </w:tc>
        <w:tc>
          <w:tcPr>
            <w:tcW w:type="dxa" w:w="760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Corregir causas de reproceso, revisar resultados de pruebas y optimizar el flujo.</w:t>
            </w:r>
          </w:p>
        </w:tc>
      </w:tr>
    </w:tbl>
    <w:p>
      <w:pPr>
        <w:spacing w:after="0"/>
      </w:pPr>
    </w:p>
    <w:p>
      <w:r>
        <w:t>Criterio clave: no equivale a elaborar un segundo BPMN del crédito. La Figura 1 muestra la secuencia funcional que entrega valor; la Tabla 4 explica las actividades SVC que permiten diseñar, operar, dar soporte y mejorar ese servicio.</w:t>
      </w:r>
    </w:p>
    <w:p>
      <w:pPr>
        <w:pStyle w:val="Heading1"/>
      </w:pPr>
      <w:r>
        <w:t>5. I-03. Flujo de valor: Desembolso y Cobranza</w:t>
      </w:r>
    </w:p>
    <w:p>
      <w:r>
        <w:t>Responsables según plan: Sebastián Conde y Álvaro Montoya. Periodo previsto: 05/10–12/10. El valor comienza con un crédito aprobado y culmina con fondos correctamente abonados y una obligación gestionable, cuyos pagos quedan aplicados y trazados. Esta consolidación se basa en las fichas de Desembolso y Cobranza y requiere validación de sus enlaces.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701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i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01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 xml:space="preserve">Figura 2. </w:t>
      </w:r>
      <w:r>
        <w:t>Secuencia de prestación que fundamenta el flujo de valor I-03</w:t>
      </w:r>
    </w:p>
    <w:p>
      <w:pPr>
        <w:pStyle w:val="Heading2"/>
      </w:pPr>
      <w:r>
        <w:t>5.1. Actividades y condiciones de continuidad</w:t>
      </w:r>
    </w:p>
    <w:p>
      <w:pPr>
        <w:pStyle w:val="Caption"/>
      </w:pPr>
      <w:r>
        <w:rPr>
          <w:b/>
        </w:rPr>
        <w:t xml:space="preserve">Tabla 5. </w:t>
      </w:r>
      <w:r>
        <w:t>Actividades del flujo I-03 y controles asociados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13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Tramo</w:t>
            </w:r>
          </w:p>
        </w:tc>
        <w:tc>
          <w:tcPr>
            <w:tcW w:type="dxa" w:w="4997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Actividad y control</w:t>
            </w:r>
          </w:p>
        </w:tc>
        <w:tc>
          <w:tcPr>
            <w:tcW w:type="dxa" w:w="3326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Valor / salida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Desembolso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Recibir aprobación válida; validar cuenta, titularidad, monto y moneda; solicitar abono a Cuentas por CR-INT-05; confirmar antes de reintentar un resultado incierto.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Abono confirmado, referencia financiera y constancia; evita duplicación y destinos erróneos.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Activación</w:t>
            </w:r>
          </w:p>
        </w:tc>
        <w:tc>
          <w:tcPr>
            <w:tcW w:type="dxa" w:w="4997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Tras abono confirmado, notificar obligación a Cobranza por CR-INT-06. Si falla la notificación, gestionar reenvío sin deshacer el abono.</w:t>
            </w:r>
          </w:p>
        </w:tc>
        <w:tc>
          <w:tcPr>
            <w:tcW w:type="dxa" w:w="332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Continuidad del ciclo crediticio sin doble desembolso.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Cobranza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Recibir pago desde Home Banking (CR-INT-08); verificar crédito/cuota; determinar monto exigible; solicitar cargo a Cuentas (CR-INT-07); aplicar sólo tras confirmación.</w:t>
            </w:r>
          </w:p>
        </w:tc>
        <w:tc>
          <w:tcPr>
            <w:tcW w:type="dxa" w:w="332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Cuotas y saldo actualizados, comprobante y trazabilidad.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Excepciones</w:t>
            </w:r>
          </w:p>
        </w:tc>
        <w:tc>
          <w:tcPr>
            <w:tcW w:type="dxa" w:w="4997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Rechazos, pagos no confirmados, mora, reversión y conciliación quedan sujetos a políticas/contratos específicos por validar.</w:t>
            </w:r>
          </w:p>
        </w:tc>
        <w:tc>
          <w:tcPr>
            <w:tcW w:type="dxa" w:w="332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Prevención de movimientos inconsistentes y registro para seguimiento.</w:t>
            </w:r>
          </w:p>
        </w:tc>
      </w:tr>
    </w:tbl>
    <w:p>
      <w:pPr>
        <w:spacing w:after="0"/>
      </w:pPr>
    </w:p>
    <w:p>
      <w:pPr>
        <w:pStyle w:val="Heading2"/>
      </w:pPr>
      <w:r>
        <w:t>5.2. Relación con la Cadena de Valor del Servicio de ITIL 4</w:t>
      </w:r>
    </w:p>
    <w:p>
      <w:pPr>
        <w:pStyle w:val="Caption"/>
      </w:pPr>
      <w:r>
        <w:rPr>
          <w:b/>
        </w:rPr>
        <w:t xml:space="preserve">Tabla 6. </w:t>
      </w:r>
      <w:r>
        <w:t>Interpretación de actividades SVC para I-03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  <w:cantSplit/>
        </w:trPr>
        <w:tc>
          <w:tcPr>
            <w:tcW w:type="dxa" w:w="2333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Actividad SVC</w:t>
            </w:r>
          </w:p>
        </w:tc>
        <w:tc>
          <w:tcPr>
            <w:tcW w:type="dxa" w:w="7603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Contribución propuesta</w:t>
            </w:r>
          </w:p>
        </w:tc>
      </w:tr>
      <w:tr>
        <w:trPr>
          <w:cantSplit/>
        </w:trPr>
        <w:tc>
          <w:tcPr>
            <w:tcW w:type="dxa" w:w="233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Engage</w:t>
            </w:r>
          </w:p>
        </w:tc>
        <w:tc>
          <w:tcPr>
            <w:tcW w:type="dxa" w:w="76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Cliente/operador recibe constancia; Home Banking inicia pagos; interfaces mantienen información del estado.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Design &amp; Transition</w:t>
            </w:r>
          </w:p>
        </w:tc>
        <w:tc>
          <w:tcPr>
            <w:tcW w:type="dxa" w:w="760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Definir condiciones de desembolso/pago, idempotencia, conciliación y recuperación ante fallos.</w:t>
            </w:r>
          </w:p>
        </w:tc>
      </w:tr>
      <w:tr>
        <w:trPr>
          <w:cantSplit/>
        </w:trPr>
        <w:tc>
          <w:tcPr>
            <w:tcW w:type="dxa" w:w="233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Obtain/Build</w:t>
            </w:r>
          </w:p>
        </w:tc>
        <w:tc>
          <w:tcPr>
            <w:tcW w:type="dxa" w:w="76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Preparar servicios API y persistencia con validación de Seguridad, Tecnología e Infraestructura.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Deliver &amp; Support</w:t>
            </w:r>
          </w:p>
        </w:tc>
        <w:tc>
          <w:tcPr>
            <w:tcW w:type="dxa" w:w="760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Gestionar abonos, activación, cobros, incidencias y comprobantes.</w:t>
            </w:r>
          </w:p>
        </w:tc>
      </w:tr>
      <w:tr>
        <w:trPr>
          <w:cantSplit/>
        </w:trPr>
        <w:tc>
          <w:tcPr>
            <w:tcW w:type="dxa" w:w="233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Plan</w:t>
            </w:r>
          </w:p>
        </w:tc>
        <w:tc>
          <w:tcPr>
            <w:tcW w:type="dxa" w:w="760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Priorizar servicios críticos, dependencias operativas y políticas que faltan por ratificar.</w:t>
            </w:r>
          </w:p>
        </w:tc>
      </w:tr>
      <w:tr>
        <w:trPr>
          <w:cantSplit/>
        </w:trPr>
        <w:tc>
          <w:tcPr>
            <w:tcW w:type="dxa" w:w="233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Improve</w:t>
            </w:r>
          </w:p>
        </w:tc>
        <w:tc>
          <w:tcPr>
            <w:tcW w:type="dxa" w:w="760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Analizar fallos en abonos, pagos y notificaciones para reducir reprocesos.</w:t>
            </w:r>
          </w:p>
        </w:tc>
      </w:tr>
    </w:tbl>
    <w:p>
      <w:pPr>
        <w:spacing w:after="0"/>
      </w:pPr>
    </w:p>
    <w:p>
      <w:pPr>
        <w:pStyle w:val="Heading1"/>
      </w:pPr>
      <w:r>
        <w:t>6. Interoperabilidad, tecnología y control de accesos</w:t>
      </w:r>
    </w:p>
    <w:p>
      <w:r>
        <w:t>Los módulos se relacionan mediante interfaces documentadas conceptualmente en TOGAF. El Bus de Servicios actúa como mecanismo técnico de enrutamiento/integración. Los movimientos financieros corresponden al servicio propietario Cuentas; una flecha hacia el CORE en un esquema tecnológico no habilita por sí misma un acceso funcional directo ni modifica esa responsabilidad.</w:t>
      </w:r>
    </w:p>
    <w:p>
      <w:pPr>
        <w:pStyle w:val="Caption"/>
      </w:pPr>
      <w:r>
        <w:rPr>
          <w:b/>
        </w:rPr>
        <w:t xml:space="preserve">Tabla 7. </w:t>
      </w:r>
      <w:r>
        <w:t>Trazabilidad de las interfaces de Créditos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656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Interfaz</w:t>
            </w:r>
          </w:p>
        </w:tc>
        <w:tc>
          <w:tcPr>
            <w:tcW w:type="dxa" w:w="3370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Relación funcional</w:t>
            </w:r>
          </w:p>
        </w:tc>
        <w:tc>
          <w:tcPr>
            <w:tcW w:type="dxa" w:w="4910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Propósito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CR-INT-01</w:t>
            </w:r>
          </w:p>
        </w:tc>
        <w:tc>
          <w:tcPr>
            <w:tcW w:type="dxa" w:w="337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Captación → Solicitud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Verificación/prospecto habilitante.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CR-INT-02</w:t>
            </w:r>
          </w:p>
        </w:tc>
        <w:tc>
          <w:tcPr>
            <w:tcW w:type="dxa" w:w="337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Solicitud → Evaluación</w:t>
            </w:r>
          </w:p>
        </w:tc>
        <w:tc>
          <w:tcPr>
            <w:tcW w:type="dxa" w:w="491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Expediente versionado.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CR-INT-03</w:t>
            </w:r>
          </w:p>
        </w:tc>
        <w:tc>
          <w:tcPr>
            <w:tcW w:type="dxa" w:w="337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Evaluación → Solicitud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Resultado y observaciones.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CR-INT-04</w:t>
            </w:r>
          </w:p>
        </w:tc>
        <w:tc>
          <w:tcPr>
            <w:tcW w:type="dxa" w:w="337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Evaluación → Desembolso</w:t>
            </w:r>
          </w:p>
        </w:tc>
        <w:tc>
          <w:tcPr>
            <w:tcW w:type="dxa" w:w="491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Autorización del crédito aprobado.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CR-INT-05</w:t>
            </w:r>
          </w:p>
        </w:tc>
        <w:tc>
          <w:tcPr>
            <w:tcW w:type="dxa" w:w="337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Desembolso → Cuentas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Solicitud y confirmación del abono.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CR-INT-06</w:t>
            </w:r>
          </w:p>
        </w:tc>
        <w:tc>
          <w:tcPr>
            <w:tcW w:type="dxa" w:w="337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Desembolso → Cobranza</w:t>
            </w:r>
          </w:p>
        </w:tc>
        <w:tc>
          <w:tcPr>
            <w:tcW w:type="dxa" w:w="491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Desembolso confirmado y continuidad de obligación.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CR-INT-07</w:t>
            </w:r>
          </w:p>
        </w:tc>
        <w:tc>
          <w:tcPr>
            <w:tcW w:type="dxa" w:w="337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Cobranza → Cuentas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Solicitud/confirmación de cargo del pago.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CR-INT-08</w:t>
            </w:r>
          </w:p>
        </w:tc>
        <w:tc>
          <w:tcPr>
            <w:tcW w:type="dxa" w:w="337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Home Banking → Cobranza</w:t>
            </w:r>
          </w:p>
        </w:tc>
        <w:tc>
          <w:tcPr>
            <w:tcW w:type="dxa" w:w="491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Inicio de pago digital.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CR-INT-09</w:t>
            </w:r>
          </w:p>
        </w:tc>
        <w:tc>
          <w:tcPr>
            <w:tcW w:type="dxa" w:w="337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Captación → Clientes</w:t>
            </w:r>
          </w:p>
        </w:tc>
        <w:tc>
          <w:tcPr>
            <w:tcW w:type="dxa" w:w="491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Consulta/referencia de identidad.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CR-INT-10</w:t>
            </w:r>
          </w:p>
        </w:tc>
        <w:tc>
          <w:tcPr>
            <w:tcW w:type="dxa" w:w="337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Créditos → Seguridad/Auditoría</w:t>
            </w:r>
          </w:p>
        </w:tc>
        <w:tc>
          <w:tcPr>
            <w:tcW w:type="dxa" w:w="491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Registro de eventos críticos.</w:t>
            </w:r>
          </w:p>
        </w:tc>
      </w:tr>
    </w:tbl>
    <w:p>
      <w:pPr>
        <w:spacing w:after="0"/>
      </w:pPr>
    </w:p>
    <w:p>
      <w:r>
        <w:t>Tecnología de referencia: Python y FastAPI en los servicios backend, MySQL como persistencia y APIs para la interoperabilidad. Cada módulo mantiene autoridad sobre su dominio y no modifica directamente tablas ajenas. La definición concreta de versiones, autenticación, contratos, timeouts y manejo de errores está sujeta al acuerdo con Tecnología y Seguridad.</w:t>
      </w:r>
    </w:p>
    <w:p>
      <w:r>
        <w:t>El archivo DB_CONTROL_ACCESO identifica roles y permisos propuestos —entre otros LIDER_CREDITOS, LIDER_EVALUACION, LIDER_DESEMBOLSO y LIDER_COBRANZA—. Se utiliza como insumo de coordinación, no como prueba de que las APIs o controles estén implementados. Se excluyen de este informe credenciales y contraseñas contenidas en dicho archivo; no deben redistribuirse.</w:t>
      </w:r>
    </w:p>
    <w:p>
      <w:pPr>
        <w:pStyle w:val="Heading1"/>
      </w:pPr>
      <w:r>
        <w:t>7. Brechas y decisiones pendientes</w:t>
      </w:r>
    </w:p>
    <w:p>
      <w:pPr>
        <w:pStyle w:val="Caption"/>
      </w:pPr>
      <w:r>
        <w:rPr>
          <w:b/>
        </w:rPr>
        <w:t xml:space="preserve">Tabla 8. </w:t>
      </w:r>
      <w:r>
        <w:t>Registro de asuntos que requieren validación o acuerdo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720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736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Asunto</w:t>
            </w:r>
          </w:p>
        </w:tc>
        <w:tc>
          <w:tcPr>
            <w:tcW w:type="dxa" w:w="6480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Tratamiento requerido / instancia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P-01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Captación: situación financiera y central de riesgos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Piero / Captación: corregir alcance de ficha SRV-CR-01 e interfaces con Clientes/Solicitud.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P-02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Umbrales y estados de Evaluación</w:t>
            </w:r>
          </w:p>
        </w:tc>
        <w:tc>
          <w:tcPr>
            <w:tcW w:type="dxa" w:w="648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Yhosfer / Evaluación / Comité: ratificar workflow, catálogo de estados y tratamiento OBSERVADO.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P-03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Autoridad sobre calendario vigente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Ángel, Sebastián y Álvaro: definir propiedad y difusión a Cobranza; no atribuir creación automática a Desembolso.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P-04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Mora y pago fraccionado</w:t>
            </w:r>
          </w:p>
        </w:tc>
        <w:tc>
          <w:tcPr>
            <w:tcW w:type="dxa" w:w="648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Álvaro / Cobranza: determinar fórmula, responsable, aplicación y evidencias.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P-05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Reversión e idempotencia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Sebastián / Tecnología / Cuentas: precisar política ante incertidumbre y autorización de operaciones.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P-06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Contratos API y controles de acceso</w:t>
            </w:r>
          </w:p>
        </w:tc>
        <w:tc>
          <w:tcPr>
            <w:tcW w:type="dxa" w:w="648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Tecnología / Seguridad / Bus / módulos: autenticación, mensajes, estados, errores, timeouts y permisos.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P-07</w:t>
            </w:r>
          </w:p>
        </w:tc>
        <w:tc>
          <w:tcPr>
            <w:tcW w:type="dxa" w:w="273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Canales adicionales de pago/captación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Confirmar interfaces antes de declarar ATM o Billetera Digital como vías activas de Cobranza.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P-08</w:t>
            </w:r>
          </w:p>
        </w:tc>
        <w:tc>
          <w:tcPr>
            <w:tcW w:type="dxa" w:w="2736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Validación del modelo I-02 e I-03</w:t>
            </w:r>
          </w:p>
        </w:tc>
        <w:tc>
          <w:tcPr>
            <w:tcW w:type="dxa" w:w="6480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Ángel/Yhosfer y Sebastián/Álvaro: ratificar tablas y diagramas en reunión del Comité.</w:t>
            </w:r>
          </w:p>
        </w:tc>
      </w:tr>
    </w:tbl>
    <w:p>
      <w:pPr>
        <w:spacing w:after="0"/>
      </w:pPr>
    </w:p>
    <w:p>
      <w:pPr>
        <w:pStyle w:val="Heading1"/>
      </w:pPr>
      <w:r>
        <w:t>8. Incorporación progresiva de I-04, I-05 e I-06</w:t>
      </w:r>
    </w:p>
    <w:p>
      <w:r>
        <w:t>Las siguientes secciones son la estructura prevista para actualizar este mismo informe. El estado indica actividades programadas o en elaboración, no resultados ejecutados o aprobados.</w:t>
      </w:r>
    </w:p>
    <w:p>
      <w:pPr>
        <w:pStyle w:val="Caption"/>
      </w:pPr>
      <w:r>
        <w:rPr>
          <w:b/>
        </w:rPr>
        <w:t xml:space="preserve">Tabla 9. </w:t>
      </w:r>
      <w:r>
        <w:t>Cronograma de integración al informe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  <w:cantSplit/>
        </w:trPr>
        <w:tc>
          <w:tcPr>
            <w:tcW w:type="dxa" w:w="1613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Actividad / periodo</w:t>
            </w:r>
          </w:p>
        </w:tc>
        <w:tc>
          <w:tcPr>
            <w:tcW w:type="dxa" w:w="2232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Responsables</w:t>
            </w:r>
          </w:p>
        </w:tc>
        <w:tc>
          <w:tcPr>
            <w:tcW w:type="dxa" w:w="4824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Contenido que se incorporará</w:t>
            </w:r>
          </w:p>
        </w:tc>
        <w:tc>
          <w:tcPr>
            <w:tcW w:type="dxa" w:w="1267"/>
            <w:vAlign w:val="center"/>
            <w:shd w:fill="183652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Estado actual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I-04</w:t>
              <w:br/>
              <w:t>09–16/10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Mathias Cabrera / Yhosfer Quispe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Procedimientos de incidentes, solicitudes de servicio, cambios, disponibilidad y continuidad; priorización y escalamiento.</w:t>
            </w:r>
          </w:p>
        </w:tc>
        <w:tc>
          <w:tcPr>
            <w:tcW w:type="dxa" w:w="126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Pendiente de desarrollo/validación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I-05</w:t>
              <w:br/>
              <w:t>13–20/10</w:t>
            </w:r>
          </w:p>
        </w:tc>
        <w:tc>
          <w:tcPr>
            <w:tcW w:type="dxa" w:w="2232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Piero Ponce / Ángel Cruz</w:t>
            </w:r>
          </w:p>
        </w:tc>
        <w:tc>
          <w:tcPr>
            <w:tcW w:type="dxa" w:w="4824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Catálogo definitivo, propietarios, criterios y objetivos propuestos de niveles de servicio, sujetos a aprobación.</w:t>
            </w:r>
          </w:p>
        </w:tc>
        <w:tc>
          <w:tcPr>
            <w:tcW w:type="dxa" w:w="1267"/>
            <w:vAlign w:val="center"/>
            <w:shd w:fill="F4F7F9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Programado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I-06</w:t>
              <w:br/>
              <w:t>18–25/10</w:t>
            </w:r>
          </w:p>
        </w:tc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Sebastián Conde / Álvaro Montoya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Casos de prueba de integración en Testing, evidencias reales, resultados, incidencias y ajustes de arquitectura.</w:t>
            </w:r>
          </w:p>
        </w:tc>
        <w:tc>
          <w:tcPr>
            <w:tcW w:type="dxa" w:w="1267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Programado</w:t>
            </w:r>
          </w:p>
        </w:tc>
      </w:tr>
    </w:tbl>
    <w:p>
      <w:pPr>
        <w:spacing w:after="0"/>
      </w:pPr>
    </w:p>
    <w:p>
      <w:pPr>
        <w:pStyle w:val="Heading2"/>
      </w:pPr>
      <w:r>
        <w:t>8.1. Información mínima que se deberá recibir para I-04</w:t>
      </w:r>
    </w:p>
    <w:p>
      <w:pPr>
        <w:pStyle w:val="ListBullet"/>
      </w:pPr>
      <w:r>
        <w:t>Incidentes: escenario, impacto, prioridad, detección, responsable, escalamiento, recuperación y evidencia (p. ej., consulta a buró, evaluación, abono incierto, pago no confirmado).</w:t>
      </w:r>
    </w:p>
    <w:p>
      <w:pPr>
        <w:pStyle w:val="ListBullet"/>
      </w:pPr>
      <w:r>
        <w:t>Solicitudes de servicio: tipo de solicitud, canal, quién la autoriza, tratamiento y cierre.</w:t>
      </w:r>
    </w:p>
    <w:p>
      <w:pPr>
        <w:pStyle w:val="ListBullet"/>
      </w:pPr>
      <w:r>
        <w:t>Cambios: origen, análisis de impacto, aprobación, despliegue controlado y plan de reversión técnica.</w:t>
      </w:r>
    </w:p>
    <w:p>
      <w:pPr>
        <w:pStyle w:val="ListBullet"/>
      </w:pPr>
      <w:r>
        <w:t>Disponibilidad: componentes críticos, dependencias externas, objetivos propuestos y metodología de medición.</w:t>
      </w:r>
    </w:p>
    <w:p>
      <w:pPr>
        <w:pStyle w:val="ListBullet"/>
      </w:pPr>
      <w:r>
        <w:t>Continuidad: fallas previsibles, contingencia propuesta, responsables y RTO/RPO solo si son validados.</w:t>
      </w:r>
    </w:p>
    <w:p>
      <w:pPr>
        <w:pStyle w:val="Heading2"/>
      </w:pPr>
      <w:r>
        <w:t>8.2. Información mínima para I-05 e I-06</w:t>
      </w:r>
    </w:p>
    <w:p>
      <w:r>
        <w:t>I-05: ratificar nombre/código de los servicios, propietario funcional, horarios de atención, consumidores, métricas y objetivos propuestos de niveles de servicio. I-06: documentar entorno, versiones, datos de prueba, operación/API, resultado esperado y real, evidencia fechada, incidencias y validación con Calidad e Infraestructura. Ningún resultado de Testing se consigna sin ejecución comprobable.</w:t>
      </w:r>
    </w:p>
    <w:p>
      <w:pPr>
        <w:pStyle w:val="Heading1"/>
      </w:pPr>
      <w:r>
        <w:t>9. Conclusiones y acciones inmediatas</w:t>
      </w:r>
    </w:p>
    <w:p>
      <w:pPr>
        <w:pStyle w:val="ListNumber"/>
      </w:pPr>
      <w:r>
        <w:t>La Línea de Créditos cuenta con cinco fichas I-01 que permiten estructurar un catálogo preliminar uniforme, pero aún no constituyen un catálogo definitivo aprobado.</w:t>
      </w:r>
    </w:p>
    <w:p>
      <w:pPr>
        <w:pStyle w:val="ListNumber"/>
      </w:pPr>
      <w:r>
        <w:t>I-02 integra identificación/verificación, expediente y decisión; I-03 integra desembolso confirmado y cobro. Ambos flujos se expresan como propuestas de valor bajo ITIL 4, distintas del BPMN operacional.</w:t>
      </w:r>
    </w:p>
    <w:p>
      <w:pPr>
        <w:pStyle w:val="ListNumber"/>
      </w:pPr>
      <w:r>
        <w:t>Las interfaces CR-INT permiten controlar las dependencias; Cuentas es propietario de los movimientos financieros y el Bus es infraestructura de integración.</w:t>
      </w:r>
    </w:p>
    <w:p>
      <w:pPr>
        <w:pStyle w:val="ListNumber"/>
      </w:pPr>
      <w:r>
        <w:t>Las principales brechas recaen en Captación, calendario, criterios de Evaluación, mora, reversión, contratos técnicos y permisos de acceso. Deben resolverse antes de fijar niveles de servicio y ejecutar pruebas concluyentes.</w:t>
      </w:r>
    </w:p>
    <w:p>
      <w:pPr>
        <w:pStyle w:val="ListNumber"/>
      </w:pPr>
      <w:r>
        <w:t>Se recomienda validar las tablas I-02/I-03 con sus enlaces, corregir SRV-CR-01, iniciar la matriz I-04 y continuar con I-05 e I-06 dentro del mismo informe acumulativo.</w:t>
      </w:r>
    </w:p>
    <w:p>
      <w:pPr>
        <w:pStyle w:val="Heading1"/>
        <w:pageBreakBefore/>
      </w:pPr>
      <w:r>
        <w:t>10. Referencias y documentos de trabajo</w:t>
      </w:r>
    </w:p>
    <w:p>
      <w:r>
        <w:t>Universidad Católica de Santa María. (2026). Trabajo grupal integrador: Arquitectura del Banco Nacional de Arequipa (BNA), fases TOGAF, ITIL 4 y COBIT 2019 [Guía del proyecto].</w:t>
      </w:r>
    </w:p>
    <w:p>
      <w:r>
        <w:t>Comité de Créditos BNA. (2026). Informe consolidado de arquitectura empresarial de la Línea de Créditos: Fase I TOGAF 10 [Documento de referencia].</w:t>
      </w:r>
    </w:p>
    <w:p>
      <w:r>
        <w:t>Comité de Créditos BNA. (2026). Guía y plan de trabajo del Comité de Créditos [Cronograma I-01 a I-06].</w:t>
      </w:r>
    </w:p>
    <w:p>
      <w:r>
        <w:t>Módulo Captación de Clientes. (2026). Ficha de identificación de servicio TI SRV-CR-01 [Propuesta I-01].</w:t>
      </w:r>
    </w:p>
    <w:p>
      <w:r>
        <w:t>Módulo Solicitud de Crédito. (2026). Servicios TI y valor generado: SRV-CR-02 [Propuesta I-01].</w:t>
      </w:r>
    </w:p>
    <w:p>
      <w:r>
        <w:t>Módulo Evaluación. (2026). Servicios de TI y valor generado: SRV-CR-03 [Propuesta I-01].</w:t>
      </w:r>
    </w:p>
    <w:p>
      <w:r>
        <w:t>Módulo Desembolso. (2026). Servicios de TI y valor generado: SRV-CR-04 [Propuesta I-01].</w:t>
      </w:r>
    </w:p>
    <w:p>
      <w:r>
        <w:t>Módulo Cobranza. (2026). Ficha de identificación de servicio TI SRV-CR-05 [Propuesta I-01].</w:t>
      </w:r>
    </w:p>
    <w:p>
      <w:r>
        <w:t>Equipo de Control de Accesos BNA. (2026). DB_CONTROL_ACCESO [Matriz técnica de roles y permisos; referencia pendiente de validación].</w:t>
      </w:r>
    </w:p>
    <w:p>
      <w:r>
        <w:t>AXELOS. (2019). ITIL Foundation: ITIL 4 edition. The Stationery Office.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08" w:left="1181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6575"/>
        <w:sz w:val="15"/>
      </w:rPr>
      <w:t xml:space="preserve">UCSM  ·  Ingeniería de Sistemas  |  Fase II - Versión de trabajo   ·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86575"/>
        <w:sz w:val="15"/>
      </w:rPr>
      <w:t>BNA  |  COMITÉ DE CRÉDITOS  |  ITIL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0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836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7D83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8365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280"/>
      <w:contextualSpacing/>
    </w:pPr>
    <w:rPr>
      <w:rFonts w:asciiTheme="majorHAnsi" w:eastAsiaTheme="majorEastAsia" w:hAnsiTheme="majorHAnsi" w:cstheme="majorBidi" w:ascii="Aptos" w:hAnsi="Aptos"/>
      <w:b/>
      <w:color w:val="1836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0" w:after="180"/>
    </w:pPr>
    <w:rPr>
      <w:rFonts w:ascii="Aptos" w:hAnsi="Aptos"/>
      <w:b/>
      <w:bCs/>
      <w:i/>
      <w:color w:val="586575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Consolidado Fase II ITIL 4 – Comité de Créditos BNA (v0.1)</dc:title>
  <dc:subject>Consolidación preliminar I-01, I-02, I-03; secciones futuras I-04 a I-06</dc:subject>
  <dc:creator>Comité de Créditos BNA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