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20"/>
        <w:ind w:hanging="0" w:left="0" w:right="0"/>
        <w:jc w:val="both"/>
        <w:rPr/>
      </w:pPr>
      <w:r>
        <w:rPr/>
        <w:t>ATUALIZAÇÃO DA MONOGRAFIA TEMPO CLARO</w:t>
      </w:r>
    </w:p>
    <w:p>
      <w:pPr>
        <w:pStyle w:val="BodyText"/>
        <w:bidi w:val="0"/>
        <w:spacing w:before="0" w:after="120"/>
        <w:ind w:hanging="0" w:left="0" w:right="0"/>
        <w:jc w:val="both"/>
        <w:rPr/>
      </w:pPr>
      <w:r>
        <w:rPr/>
        <w:t>Data de referência: 13 de outubro de 2026.</w:t>
      </w:r>
    </w:p>
    <w:p>
      <w:pPr>
        <w:pStyle w:val="BodyText"/>
        <w:pBdr>
          <w:bottom w:val="single" w:sz="16" w:space="3" w:color="888888"/>
        </w:pBdr>
        <w:bidi w:val="0"/>
        <w:spacing w:before="560" w:after="200"/>
        <w:ind w:hanging="0" w:left="560" w:right="560"/>
        <w:rPr>
          <w:b/>
          <w:color w:val="444444"/>
          <w:sz w:val="28"/>
        </w:rPr>
      </w:pPr>
      <w:r>
        <w:rPr>
          <w:b/>
          <w:color w:val="444444"/>
          <w:sz w:val="28"/>
        </w:rPr>
        <w:t>INTRODUÇÃO</w:t>
      </w:r>
    </w:p>
    <w:p>
      <w:pPr>
        <w:pStyle w:val="BodyText"/>
        <w:bidi w:val="0"/>
        <w:spacing w:before="0" w:after="120"/>
        <w:ind w:hanging="0" w:left="0" w:right="0"/>
        <w:jc w:val="both"/>
        <w:rPr/>
      </w:pPr>
      <w:r>
        <w:rPr/>
        <w:t>Este é um documento de aplicação, não um documento de leitura. Ele reúne, capítulo por capítulo, apenas o que precisa mudar no arquivo TempoClaro_Monografia.docx. O que já está lá e permanece igual não aparece aqui, de modo que o documento não serve para entender o trabalho: serve para alterá-lo.</w:t>
      </w:r>
    </w:p>
    <w:p>
      <w:pPr>
        <w:pStyle w:val="BodyText"/>
        <w:bidi w:val="0"/>
        <w:spacing w:before="0" w:after="120"/>
        <w:ind w:hanging="0" w:left="0" w:right="0"/>
        <w:jc w:val="both"/>
        <w:rPr/>
      </w:pPr>
      <w:r>
        <w:rPr/>
        <w:t>O que motivou esta atualização foram quatro decisões tomadas sobre o projeto, todas já aplicadas nos demais artefatos e refletidas aqui.</w:t>
      </w:r>
    </w:p>
    <w:p>
      <w:pPr>
        <w:pStyle w:val="BodyText"/>
        <w:bidi w:val="0"/>
        <w:spacing w:before="0" w:after="120"/>
        <w:ind w:hanging="0" w:left="709" w:right="0"/>
        <w:jc w:val="both"/>
        <w:rPr>
          <w:sz w:val="22"/>
        </w:rPr>
      </w:pPr>
      <w:r>
        <w:rPr>
          <w:sz w:val="22"/>
        </w:rPr>
        <w:t>A primeira foi a revisão dos requisitos não funcionais contra a ISO/IEC 25010. Três dos catorze não se sustentavam como atributo de qualidade e saíram, e os onze restantes foram renumerados e reclassificados no vocabulário da norma. Isso refaz o Quadro 6 por inteiro e muda o identificador de quase todos os requisitos não funcionais citados no restante do documento.</w:t>
      </w:r>
    </w:p>
    <w:p>
      <w:pPr>
        <w:pStyle w:val="BodyText"/>
        <w:bidi w:val="0"/>
        <w:spacing w:before="0" w:after="120"/>
        <w:ind w:hanging="0" w:left="709" w:right="0"/>
        <w:jc w:val="both"/>
        <w:rPr>
          <w:sz w:val="22"/>
        </w:rPr>
      </w:pPr>
      <w:r>
        <w:rPr>
          <w:sz w:val="22"/>
        </w:rPr>
        <w:t>A segunda foi a reconstrução do diagrama de casos de uso, que passou a catorze casos de uso e um único ator, agrupando em UC09 e UC13 os requisitos que correspondem a uma mesma sequência de ações. Isso reescreve a seção 4.3 e o Apêndice B, que passou a trazer a descrição expandida de cada caso de uso, na estrutura de Guedes.</w:t>
      </w:r>
    </w:p>
    <w:p>
      <w:pPr>
        <w:pStyle w:val="BodyText"/>
        <w:bidi w:val="0"/>
        <w:spacing w:before="0" w:after="120"/>
        <w:ind w:hanging="0" w:left="709" w:right="0"/>
        <w:jc w:val="both"/>
        <w:rPr>
          <w:sz w:val="22"/>
        </w:rPr>
      </w:pPr>
      <w:r>
        <w:rPr>
          <w:sz w:val="22"/>
        </w:rPr>
        <w:t>A terceira foi a troca de "arquivar" por "excluir" em todo o projeto, texto e código, porque o arquivamento não oferecia caminho de volta: na prática era exclusão. Isso altera o enunciado do RF08.</w:t>
      </w:r>
    </w:p>
    <w:p>
      <w:pPr>
        <w:pStyle w:val="BodyText"/>
        <w:bidi w:val="0"/>
        <w:spacing w:before="0" w:after="120"/>
        <w:ind w:hanging="0" w:left="709" w:right="0"/>
        <w:jc w:val="both"/>
        <w:rPr>
          <w:sz w:val="22"/>
        </w:rPr>
      </w:pPr>
      <w:r>
        <w:rPr>
          <w:sz w:val="22"/>
        </w:rPr>
        <w:t>A quarta foi a campanha de testes de 6 de outubro de 2026, com duzentos e oitenta e um casos projetados e vinte defeitos catalogados, que preenche o Capítulo 7, até aqui apenas esboçado.</w:t>
      </w:r>
    </w:p>
    <w:p>
      <w:pPr>
        <w:pStyle w:val="BodyText"/>
        <w:bidi w:val="0"/>
        <w:spacing w:before="0" w:after="120"/>
        <w:ind w:hanging="0" w:left="0" w:right="0"/>
        <w:jc w:val="both"/>
        <w:rPr/>
      </w:pPr>
      <w:r>
        <w:rPr/>
        <w:t>Além dessas, duas seções novas entram no Capítulo 4, a 4.5 sobre a estrutura do banco de dados e a 4.6 sobre a estrutura de arquivos do projeto, e cinco frases do corpo citam quadro ou requisito pelo número e apontam para o lugar errado, resíduo da revisão que redefiniu os requisitos funcionais.</w:t>
      </w:r>
    </w:p>
    <w:p>
      <w:pPr>
        <w:pStyle w:val="BodyText"/>
        <w:bidi w:val="0"/>
        <w:spacing w:before="0" w:after="120"/>
        <w:ind w:hanging="0" w:left="0" w:right="0"/>
        <w:jc w:val="both"/>
        <w:rPr/>
      </w:pPr>
      <w:r>
        <w:rPr>
          <w:b/>
        </w:rPr>
        <w:t>Ordem de aplicação.</w:t>
      </w:r>
      <w:r>
        <w:rPr/>
        <w:t xml:space="preserve"> Convém seguir a ordem das partes, de A a H, por uma razão: a Parte A explica que as três listas pré-textuais são campos automáticos do Word e que as legendas novas precisam ser coladas com o estilo Título 5, sem o que os quadros não entram na Lista de Quadros. Quem cola primeiro e lê depois tem de refazer o trabalho. A Parte H é a lista de conferência, para rodar no fim.</w:t>
      </w:r>
    </w:p>
    <w:p>
      <w:pPr>
        <w:pStyle w:val="BodyText"/>
        <w:bidi w:val="0"/>
        <w:spacing w:before="0" w:after="120"/>
        <w:ind w:hanging="0" w:left="0" w:right="0"/>
        <w:jc w:val="both"/>
        <w:rPr/>
      </w:pPr>
      <w:r>
        <w:rPr>
          <w:b/>
        </w:rPr>
        <w:t>Formatação.</w:t>
      </w:r>
      <w:r>
        <w:rPr/>
        <w:t xml:space="preserve"> Tudo que está aqui já segue as convenções do documento: legenda de quadro acima da tabela, linha "Fonte: Autor" abaixo, citação autor-data no corpo do texto, sem travessão e com o recuo de parágrafo indicado pelo espaço inicial das linhas. A versão em .docx deste mesmo arquivo traz as legendas em Título 5, os títulos de seção em Título 1 e 2 e as tabelas já montadas, de modo que copiar e colar preserva os estilos que os índices automáticos coletam.</w:t>
      </w:r>
    </w:p>
    <w:p>
      <w:pPr>
        <w:pStyle w:val="BodyText"/>
        <w:bidi w:val="0"/>
        <w:spacing w:before="0" w:after="120"/>
        <w:ind w:hanging="0" w:left="0" w:right="0"/>
        <w:jc w:val="both"/>
        <w:rPr/>
      </w:pPr>
      <w:r>
        <w:rPr>
          <w:b/>
        </w:rPr>
        <w:t>O que este documento não contém.</w:t>
      </w:r>
      <w:r>
        <w:rPr/>
        <w:t xml:space="preserve"> Não traz o texto dos capítulos que não mudam, não traz a monografia, não traz o detalhamento dos casos de teste, que fica na planilha, e não traz a justificativa das decisões, que fica em validacao-requisitos-iso.md.</w:t>
      </w:r>
    </w:p>
    <w:p>
      <w:pPr>
        <w:pStyle w:val="BodyText"/>
        <w:pBdr>
          <w:bottom w:val="single" w:sz="16" w:space="3" w:color="888888"/>
        </w:pBdr>
        <w:bidi w:val="0"/>
        <w:spacing w:before="560" w:after="200"/>
        <w:ind w:hanging="0" w:left="560" w:right="560"/>
        <w:rPr>
          <w:b/>
          <w:color w:val="444444"/>
          <w:sz w:val="28"/>
        </w:rPr>
      </w:pPr>
      <w:r>
        <w:rPr>
          <w:b/>
          <w:color w:val="444444"/>
          <w:sz w:val="28"/>
        </w:rPr>
        <w:t>ÍNDICE DESTE DOCUMENTO</w:t>
      </w:r>
    </w:p>
    <w:p>
      <w:pPr>
        <w:pStyle w:val="BodyText"/>
        <w:bidi w:val="0"/>
        <w:spacing w:before="0" w:after="120"/>
        <w:ind w:hanging="0" w:left="709" w:right="0"/>
        <w:jc w:val="both"/>
        <w:rPr>
          <w:sz w:val="22"/>
        </w:rPr>
      </w:pPr>
      <w:r>
        <w:rPr>
          <w:sz w:val="22"/>
        </w:rPr>
        <w:t>PARTE A Elementos pré-textuais: Lista de Ilustrações, Lista de Quadros, Lista de Abreviaturas e Sumário PARTE B Capítulo 4: Quadros 3, 5 e 6, e a seção 4.3 PARTE C Capítulo 7 completo, com os Quadros 9 a 11 PARTE D Capítulo 5: a Figura 9 refeita com os logos das tecnologias PARTE E Capítulo 8: numeração dos dois quadros PARTE F Correções no corpo dos Capítulos 2, 9 e 10 PARTE G Referências: quatro entradas novas PARTE H Apêndice B completo, com os Quadros 14 a 29 PARTE I Lista de conferência depois de aplicar</w:t>
      </w:r>
    </w:p>
    <w:p>
      <w:pPr>
        <w:pStyle w:val="BodyText"/>
        <w:pBdr>
          <w:bottom w:val="single" w:sz="16" w:space="3" w:color="888888"/>
        </w:pBdr>
        <w:bidi w:val="0"/>
        <w:spacing w:before="560" w:after="200"/>
        <w:ind w:hanging="0" w:left="560" w:right="560"/>
        <w:rPr>
          <w:b/>
          <w:color w:val="444444"/>
          <w:sz w:val="28"/>
        </w:rPr>
      </w:pPr>
      <w:r>
        <w:rPr>
          <w:b/>
          <w:color w:val="444444"/>
          <w:sz w:val="28"/>
        </w:rPr>
        <w:t>A NUMERAÇÃO DE QUADROS, RESOLVIDA DE UMA VEZ</w:t>
      </w:r>
    </w:p>
    <w:p>
      <w:pPr>
        <w:pStyle w:val="BodyText"/>
        <w:bidi w:val="0"/>
        <w:spacing w:before="0" w:after="120"/>
        <w:ind w:hanging="0" w:left="0" w:right="0"/>
        <w:jc w:val="both"/>
        <w:rPr/>
      </w:pPr>
      <w:r>
        <w:rPr/>
        <w:t>Esta é a decisão que organiza todo o resto, porque o Capítulo 7 entra antes do Capítulo 8 e empurra os quadros que já existem. A numeração segue a ordem de aparição no texto.</w:t>
      </w:r>
    </w:p>
    <w:tbl>
      <w:tblPr>
        <w:tblW w:w="9060" w:type="dxa"/>
        <w:jc w:val="left"/>
        <w:tblInd w:w="40" w:type="dxa"/>
        <w:tblLayout w:type="fixed"/>
        <w:tblCellMar>
          <w:top w:w="28" w:type="dxa"/>
          <w:left w:w="40" w:type="dxa"/>
          <w:bottom w:w="28" w:type="dxa"/>
          <w:right w:w="40" w:type="dxa"/>
        </w:tblCellMar>
      </w:tblPr>
      <w:tblGrid>
        <w:gridCol w:w="1038"/>
        <w:gridCol w:w="3489"/>
        <w:gridCol w:w="1253"/>
        <w:gridCol w:w="3280"/>
      </w:tblGrid>
      <w:tr>
        <w:trPr>
          <w:tblHeader w:val="true"/>
        </w:trPr>
        <w:tc>
          <w:tcPr>
            <w:tcW w:w="103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Quadro</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Conteúdo</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Onde</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Situação</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 a 8</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Capítulos 2 a 6, inclusive a paleta e as tabelas do banco</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2.1 a 6.1</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Mantêm</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9</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Técnicas de teste aplicadas ao Tempo Claro</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7.2</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Recolar: os valores mudaram, ver C</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10</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Caso de teste representativo de cada módulo funcional</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7.3</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Novo. A legenda colada diz "Quadro 11" e passa a 10</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11</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Resultado da execução dos casos de teste por nível</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7.4</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Novo</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12</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Ferramentas de IA utilizadas no desenvolvimento</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8.2</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Está sem número na monografia</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13</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Prompts utilizados</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8.3</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Está sem número na monografia</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14</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Ator do sistema</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Apêndice B</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Novo</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15</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Síntese dos casos de uso</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Apêndice B</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Novo</w:t>
            </w:r>
          </w:p>
        </w:tc>
      </w:tr>
      <w:tr>
        <w:trPr/>
        <w:tc>
          <w:tcPr>
            <w:tcW w:w="103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16 a 29</w:t>
            </w:r>
          </w:p>
        </w:tc>
        <w:tc>
          <w:tcPr>
            <w:tcW w:w="3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Um quadro por caso de uso, de UC01 a UC14</w:t>
            </w:r>
          </w:p>
        </w:tc>
        <w:tc>
          <w:tcPr>
            <w:tcW w:w="12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Apêndice B</w:t>
            </w:r>
          </w:p>
        </w:tc>
        <w:tc>
          <w:tcPr>
            <w:tcW w:w="328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Novos</w:t>
            </w:r>
          </w:p>
        </w:tc>
      </w:tr>
    </w:tbl>
    <w:p>
      <w:pPr>
        <w:pStyle w:val="BodyText"/>
        <w:bidi w:val="0"/>
        <w:spacing w:before="0" w:after="120"/>
        <w:ind w:hanging="0" w:left="709" w:right="0"/>
        <w:jc w:val="both"/>
        <w:rPr>
          <w:sz w:val="22"/>
        </w:rPr>
      </w:pPr>
      <w:r>
        <w:rPr>
          <w:sz w:val="22"/>
        </w:rPr>
        <w:t>Total: vinte e nove quadros. O Apêndice B passou a trazer a descrição expandida de cada caso de uso, na estrutura de Guedes, e por isso cresceu de três para dezesseis quadros.</w:t>
      </w:r>
    </w:p>
    <w:p>
      <w:pPr>
        <w:pStyle w:val="BodyText"/>
        <w:pBdr>
          <w:bottom w:val="single" w:sz="16" w:space="3" w:color="888888"/>
        </w:pBdr>
        <w:bidi w:val="0"/>
        <w:spacing w:before="560" w:after="200"/>
        <w:ind w:hanging="0" w:left="560" w:right="560"/>
        <w:rPr>
          <w:b/>
          <w:color w:val="444444"/>
          <w:sz w:val="28"/>
        </w:rPr>
      </w:pPr>
      <w:r>
        <w:rPr>
          <w:b/>
          <w:color w:val="444444"/>
          <w:sz w:val="28"/>
        </w:rPr>
        <w:t>PARTE A: ELEMENTOS PRÉ-TEXTUAIS</w:t>
      </w:r>
    </w:p>
    <w:p>
      <w:pPr>
        <w:pStyle w:val="BodyText"/>
        <w:bidi w:val="0"/>
        <w:spacing w:before="360" w:after="160"/>
        <w:ind w:hanging="0" w:left="360" w:right="360"/>
        <w:rPr>
          <w:b/>
          <w:color w:val="444444"/>
          <w:sz w:val="24"/>
        </w:rPr>
      </w:pPr>
      <w:r>
        <w:rPr>
          <w:b/>
          <w:color w:val="444444"/>
          <w:sz w:val="24"/>
        </w:rPr>
        <w:t>A.0 ANTES DE TUDO: AS TRÊS LISTAS SÃO AUTOMÁTICAS</w:t>
      </w:r>
    </w:p>
    <w:p>
      <w:pPr>
        <w:pStyle w:val="BodyText"/>
        <w:bidi w:val="0"/>
        <w:spacing w:before="0" w:after="120"/>
        <w:ind w:hanging="0" w:left="0" w:right="0"/>
        <w:jc w:val="both"/>
        <w:rPr/>
      </w:pPr>
      <w:r>
        <w:rPr/>
        <w:t>Isto governa tudo o que vem nesta parte, e muda o que você precisa fazer. As três listas pré-textuais não são texto digitado: são campos de índice do Word, que o programa gera a partir dos estilos de parágrafo do corpo.</w:t>
      </w:r>
    </w:p>
    <w:tbl>
      <w:tblPr>
        <w:tblW w:w="9060" w:type="dxa"/>
        <w:jc w:val="left"/>
        <w:tblInd w:w="40" w:type="dxa"/>
        <w:tblLayout w:type="fixed"/>
        <w:tblCellMar>
          <w:top w:w="28" w:type="dxa"/>
          <w:left w:w="40" w:type="dxa"/>
          <w:bottom w:w="28" w:type="dxa"/>
          <w:right w:w="40" w:type="dxa"/>
        </w:tblCellMar>
      </w:tblPr>
      <w:tblGrid>
        <w:gridCol w:w="2384"/>
        <w:gridCol w:w="3625"/>
        <w:gridCol w:w="3051"/>
      </w:tblGrid>
      <w:tr>
        <w:trPr>
          <w:tblHeader w:val="true"/>
        </w:trPr>
        <w:tc>
          <w:tcPr>
            <w:tcW w:w="238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Lista</w:t>
            </w:r>
          </w:p>
        </w:tc>
        <w:tc>
          <w:tcPr>
            <w:tcW w:w="362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campo coleta</w:t>
            </w:r>
          </w:p>
        </w:tc>
        <w:tc>
          <w:tcPr>
            <w:tcW w:w="305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Ou seja</w:t>
            </w:r>
          </w:p>
        </w:tc>
      </w:tr>
      <w:tr>
        <w:trPr/>
        <w:tc>
          <w:tcPr>
            <w:tcW w:w="23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Lista de Ilustrações</w:t>
            </w:r>
          </w:p>
        </w:tc>
        <w:tc>
          <w:tcPr>
            <w:tcW w:w="362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parágrafos com estilo Título 6</w:t>
            </w:r>
          </w:p>
        </w:tc>
        <w:tc>
          <w:tcPr>
            <w:tcW w:w="305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as legendas de figura</w:t>
            </w:r>
          </w:p>
        </w:tc>
      </w:tr>
      <w:tr>
        <w:trPr/>
        <w:tc>
          <w:tcPr>
            <w:tcW w:w="23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Lista de Quadros</w:t>
            </w:r>
          </w:p>
        </w:tc>
        <w:tc>
          <w:tcPr>
            <w:tcW w:w="362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parágrafos com estilo Título 5</w:t>
            </w:r>
          </w:p>
        </w:tc>
        <w:tc>
          <w:tcPr>
            <w:tcW w:w="305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as legendas de quadro</w:t>
            </w:r>
          </w:p>
        </w:tc>
      </w:tr>
      <w:tr>
        <w:trPr/>
        <w:tc>
          <w:tcPr>
            <w:tcW w:w="23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Sumário</w:t>
            </w:r>
          </w:p>
        </w:tc>
        <w:tc>
          <w:tcPr>
            <w:tcW w:w="362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parágrafos com estilo Título 1 a Título 4</w:t>
            </w:r>
          </w:p>
        </w:tc>
        <w:tc>
          <w:tcPr>
            <w:tcW w:w="305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center"/>
              <w:rPr>
                <w:sz w:val="18"/>
              </w:rPr>
            </w:pPr>
            <w:r>
              <w:rPr>
                <w:sz w:val="18"/>
              </w:rPr>
              <w:t>os títulos de capítulo e seção</w:t>
            </w:r>
          </w:p>
        </w:tc>
      </w:tr>
    </w:tbl>
    <w:p>
      <w:pPr>
        <w:pStyle w:val="BodyText"/>
        <w:bidi w:val="0"/>
        <w:spacing w:before="0" w:after="120"/>
        <w:ind w:hanging="0" w:left="0" w:right="0"/>
        <w:jc w:val="both"/>
        <w:rPr/>
      </w:pPr>
      <w:r>
        <w:rPr/>
        <w:t>Duas consequências práticas.</w:t>
      </w:r>
    </w:p>
    <w:p>
      <w:pPr>
        <w:pStyle w:val="BodyText"/>
        <w:bidi w:val="0"/>
        <w:spacing w:before="0" w:after="120"/>
        <w:ind w:hanging="0" w:left="709" w:right="0"/>
        <w:jc w:val="both"/>
        <w:rPr>
          <w:sz w:val="22"/>
        </w:rPr>
      </w:pPr>
      <w:r>
        <w:rPr>
          <w:b/>
          <w:sz w:val="22"/>
        </w:rPr>
        <w:t>Não digite nenhuma das três listas.</w:t>
      </w:r>
      <w:r>
        <w:rPr>
          <w:sz w:val="22"/>
        </w:rPr>
        <w:t xml:space="preserve"> O que está lá hoje é o resultado guardado da última vez que o campo foi atualizado, e por isso aparece desatualizado. Clicar na lista e atualizar o campo, com F9, regenera tudo a partir do corpo. Para atualizar as três de uma vez: selecionar todo o documento com Ctrl+T e apertar F9.</w:t>
      </w:r>
    </w:p>
    <w:p>
      <w:pPr>
        <w:pStyle w:val="BodyText"/>
        <w:bidi w:val="0"/>
        <w:spacing w:before="0" w:after="120"/>
        <w:ind w:hanging="0" w:left="709" w:right="0"/>
        <w:jc w:val="both"/>
        <w:rPr>
          <w:sz w:val="22"/>
        </w:rPr>
      </w:pPr>
      <w:r>
        <w:rPr>
          <w:b/>
          <w:sz w:val="22"/>
        </w:rPr>
        <w:t>Ao colar o Capítulo 7 e o Apêndice B, aplique os estilos certos.</w:t>
      </w:r>
      <w:r>
        <w:rPr>
          <w:sz w:val="22"/>
        </w:rPr>
        <w:t xml:space="preserve"> Cada legenda de quadro, as linhas que começam com "Quadro 8:" até "Quadro 44:", precisa receber o estilo </w:t>
      </w:r>
      <w:r>
        <w:rPr>
          <w:b/>
          <w:sz w:val="22"/>
        </w:rPr>
        <w:t>Título 5</w:t>
      </w:r>
      <w:r>
        <w:rPr>
          <w:sz w:val="22"/>
        </w:rPr>
        <w:t xml:space="preserve">. Cada título de seção, de "7 TESTES E VALIDAÇÃO DA APLICAÇÃO" a "7.8 Defeitos encontrados", precisa receber </w:t>
      </w:r>
      <w:r>
        <w:rPr>
          <w:b/>
          <w:sz w:val="22"/>
        </w:rPr>
        <w:t>Título 1</w:t>
      </w:r>
      <w:r>
        <w:rPr>
          <w:sz w:val="22"/>
        </w:rPr>
        <w:t xml:space="preserve"> para o capítulo, </w:t>
      </w:r>
      <w:r>
        <w:rPr>
          <w:b/>
          <w:sz w:val="22"/>
        </w:rPr>
        <w:t>Título 2</w:t>
      </w:r>
      <w:r>
        <w:rPr>
          <w:sz w:val="22"/>
        </w:rPr>
        <w:t xml:space="preserve"> para as seções com dois números e </w:t>
      </w:r>
      <w:r>
        <w:rPr>
          <w:b/>
          <w:sz w:val="22"/>
        </w:rPr>
        <w:t>Título 3</w:t>
      </w:r>
      <w:r>
        <w:rPr>
          <w:sz w:val="22"/>
        </w:rPr>
        <w:t xml:space="preserve"> para as de três. Se as legendas forem coladas como texto comum, os trinta e cinco quadros novos não entram na Lista de Quadros e ela vai parecer quebrada, quando o problema terá sido o estilo.</w:t>
      </w:r>
    </w:p>
    <w:p>
      <w:pPr>
        <w:pStyle w:val="BodyText"/>
        <w:bidi w:val="0"/>
        <w:spacing w:before="0" w:after="120"/>
        <w:ind w:hanging="0" w:left="709" w:right="0"/>
        <w:jc w:val="both"/>
        <w:rPr>
          <w:sz w:val="22"/>
        </w:rPr>
      </w:pPr>
      <w:r>
        <w:rPr>
          <w:sz w:val="22"/>
        </w:rPr>
        <w:t>Os estilos Título 5 e Título 6 estão configurados no documento para não aparecer no Sumário, que coleta só de Título 1 a 4. Por isso as legendas podem usá-los sem poluir o índice.</w:t>
      </w:r>
    </w:p>
    <w:p>
      <w:pPr>
        <w:pStyle w:val="BodyText"/>
        <w:bidi w:val="0"/>
        <w:spacing w:before="0" w:after="120"/>
        <w:ind w:hanging="0" w:left="0" w:right="0"/>
        <w:jc w:val="both"/>
        <w:rPr/>
      </w:pPr>
      <w:r>
        <w:rPr/>
        <w:t xml:space="preserve">As três subseções a seguir trazem, cada uma, o que corrigir no corpo e a lista que o campo deve produzir depois da atualização. As listas servem de </w:t>
      </w:r>
      <w:r>
        <w:rPr>
          <w:b/>
        </w:rPr>
        <w:t>conferência</w:t>
      </w:r>
      <w:r>
        <w:rPr/>
        <w:t>, não de texto a colar.</w:t>
      </w:r>
    </w:p>
    <w:p>
      <w:pPr>
        <w:pStyle w:val="BodyText"/>
        <w:bidi w:val="0"/>
        <w:spacing w:before="360" w:after="160"/>
        <w:ind w:hanging="0" w:left="360" w:right="360"/>
        <w:rPr>
          <w:b/>
          <w:color w:val="444444"/>
          <w:sz w:val="24"/>
        </w:rPr>
      </w:pPr>
      <w:r>
        <w:rPr>
          <w:b/>
          <w:color w:val="444444"/>
          <w:sz w:val="24"/>
        </w:rPr>
        <w:t>A.1 LISTA DE ILUSTRAÇÕES</w:t>
      </w:r>
    </w:p>
    <w:p>
      <w:pPr>
        <w:pStyle w:val="BodyText"/>
        <w:bidi w:val="0"/>
        <w:spacing w:before="0" w:after="120"/>
        <w:ind w:hanging="0" w:left="0" w:right="0"/>
        <w:jc w:val="both"/>
        <w:rPr/>
      </w:pPr>
      <w:r>
        <w:rPr/>
        <w:t>O que corrigir no corpo: uma única coisa. A legenda da seção 4.4 está escrita como "figura 8: Modelo de classes por domínio", com inicial minúscula, única assim no documento. Corrigir para "Figura 8: Modelo de classes por domínio".</w:t>
      </w:r>
    </w:p>
    <w:p>
      <w:pPr>
        <w:pStyle w:val="BodyText"/>
        <w:bidi w:val="0"/>
        <w:spacing w:before="0" w:after="120"/>
        <w:ind w:hanging="0" w:left="0" w:right="0"/>
        <w:jc w:val="both"/>
        <w:rPr/>
      </w:pPr>
      <w:r>
        <w:rPr/>
        <w:t xml:space="preserve">O que está desatualizado, e por quê: o campo guarda hoje quinze entradas e o corpo tem vinte e quatro figuras. A Lista de Quadros e o Sumário já estão em dia; só esta ficou para trás. </w:t>
      </w:r>
      <w:r>
        <w:rPr>
          <w:b/>
        </w:rPr>
        <w:t>A numeração do corpo está correta e em sequência</w:t>
      </w:r>
      <w:r>
        <w:rPr/>
        <w:t>, de 1 a 24, de modo que não há nada para renumerar: basta corrigir a legenda acima e atualizar o campo.</w:t>
      </w:r>
    </w:p>
    <w:p>
      <w:pPr>
        <w:pStyle w:val="BodyText"/>
        <w:bidi w:val="0"/>
        <w:spacing w:before="0" w:after="120"/>
        <w:ind w:hanging="0" w:left="0" w:right="0"/>
        <w:jc w:val="both"/>
        <w:rPr/>
      </w:pPr>
      <w:r>
        <w:rPr/>
        <w:t>Depois de atualizar o campo, a lista deve ficar assim. Se ficar diferente, o estilo de alguma legenda está errado.</w:t>
      </w:r>
    </w:p>
    <w:p>
      <w:pPr>
        <w:pStyle w:val="BodyText"/>
        <w:bidi w:val="0"/>
        <w:spacing w:before="0" w:after="120"/>
        <w:ind w:firstLine="709" w:left="0" w:right="0"/>
        <w:jc w:val="both"/>
        <w:rPr/>
      </w:pPr>
      <w:r>
        <w:rPr/>
        <w:t>Figura 1: Percentuais de gênero dos respondentes Figura 2: Percentual das faixas etárias dos respondentes Figura 3: Utilização atual de aplicativos de rotina Figura 4: Importância da personalização visual e identidade do perfil Figura 5: Opinião sobre o uso de Gamificação em aplicativos de rotina Figura 6: Funcionalidades mais valorizadas para usuários com déficit de atenção Figura 7: Diagrama de casos de uso do Tempo Claro Figura 8: Modelo de classes por domínio Figura 9: Arquitetura e tecnologias da plataforma Figura 10: Amostras da paleta de cores nos temas claro e escuro Figura 11: Mascotes Solzinho (tema claro) e Luazinha (tema escuro) Figura 12: Estágios e expressões do avatar Gotinha, do hábito de Água Figura 13: Estágios e expressões do avatar Livrinho, do hábito de Estudo Figura 14: Estágios e expressões do avatar Halterzinho, do hábito de Exercício Figura 15: Tela de acesso à conta Figura 16: Tela de criação de conta Figura 17: Tela inicial Figura 18: Criação de hábito, escolha do avatar Figura 19: Criação de hábito, definição da meta Figura 20: Tela de dados do hábito Figura 21: Tela da loja Figura 22: Consulta do inventário de escudos Figura 23: Tela de perfil Figura 24: Tela de troca de senha</w:t>
      </w:r>
    </w:p>
    <w:p>
      <w:pPr>
        <w:pStyle w:val="BodyText"/>
        <w:bidi w:val="0"/>
        <w:spacing w:before="0" w:after="120"/>
        <w:ind w:hanging="0" w:left="709" w:right="0"/>
        <w:jc w:val="both"/>
        <w:rPr>
          <w:sz w:val="22"/>
        </w:rPr>
      </w:pPr>
      <w:r>
        <w:rPr>
          <w:sz w:val="22"/>
        </w:rPr>
        <w:t>O Capítulo 7 não acrescenta figura obrigatória. Há uma figura opcional proposta para a seção 7.7, o painel de resumo da planilha, que se incluída entra como Figura 25, ao fim da lista, por vir depois do Capítulo 6 no corpo.</w:t>
      </w:r>
    </w:p>
    <w:p>
      <w:pPr>
        <w:pStyle w:val="BodyText"/>
        <w:bidi w:val="0"/>
        <w:spacing w:before="360" w:after="160"/>
        <w:ind w:hanging="0" w:left="360" w:right="360"/>
        <w:rPr>
          <w:b/>
          <w:color w:val="444444"/>
          <w:sz w:val="24"/>
        </w:rPr>
      </w:pPr>
      <w:r>
        <w:rPr>
          <w:b/>
          <w:color w:val="444444"/>
          <w:sz w:val="24"/>
        </w:rPr>
        <w:t>A.2 LISTA DE QUADROS</w:t>
      </w:r>
    </w:p>
    <w:p>
      <w:pPr>
        <w:pStyle w:val="BodyText"/>
        <w:bidi w:val="0"/>
        <w:spacing w:before="0" w:after="120"/>
        <w:ind w:hanging="0" w:left="0" w:right="0"/>
        <w:jc w:val="both"/>
        <w:rPr/>
      </w:pPr>
      <w:r>
        <w:rPr/>
        <w:t>O que corrigir no corpo: as duas legendas do Capítulo 8, conforme a Parte D, e aplicar Título 5 nas nove legendas novas, conforme a seção A.0.</w:t>
      </w:r>
    </w:p>
    <w:p>
      <w:pPr>
        <w:pStyle w:val="BodyText"/>
        <w:bidi w:val="0"/>
        <w:spacing w:before="0" w:after="120"/>
        <w:ind w:hanging="0" w:left="0" w:right="0"/>
        <w:jc w:val="both"/>
        <w:rPr/>
      </w:pPr>
      <w:r>
        <w:rPr/>
        <w:t>Esta lista não está desatualizada: hoje ela traz as nove entradas corretas, o Quadro 3 incluído. Ela cresce sozinha para vinte e nove quando o Capítulo 7 e o Apêndice B forem colados com o estilo certo, e o campo for atualizado.</w:t>
      </w:r>
    </w:p>
    <w:p>
      <w:pPr>
        <w:pStyle w:val="BodyText"/>
        <w:bidi w:val="0"/>
        <w:spacing w:before="0" w:after="120"/>
        <w:ind w:hanging="0" w:left="0" w:right="0"/>
        <w:jc w:val="both"/>
        <w:rPr/>
      </w:pPr>
      <w:r>
        <w:rPr/>
        <w:t>Depois de atualizar o campo, a lista deve ficar assim.</w:t>
      </w:r>
    </w:p>
    <w:p>
      <w:pPr>
        <w:pStyle w:val="BodyText"/>
        <w:bidi w:val="0"/>
        <w:spacing w:before="0" w:after="120"/>
        <w:ind w:firstLine="709" w:left="0" w:right="0"/>
        <w:jc w:val="both"/>
        <w:rPr/>
      </w:pPr>
      <w:r>
        <w:rPr/>
        <w:t>Quadro 1: As Quatro Leis da Mudança de Comportamento aplicadas ao Tempo Claro Quadro 2: Comparativo entre sistemas similares Quadro 3: Funcionalidades de Criação e Configuração de Hábitos e Acesso de conta Quadro 4: Funcionalidades de Execução do Hábito Quadro 5: Funcionalidades de Acompanhamento de Desempenho Quadro 6: Requisitos não funcionais do Tempo Claro Quadro 7: Tabelas do banco de dados do Tempo Claro Quadro 8: Paleta de cores da identidade visual Quadro 9: Técnicas de teste aplicadas ao Tempo Claro Quadro 10: Caso de teste representativo de cada módulo funcional Quadro 11: Resultado da execução dos casos de teste por nível Quadro 12: Ferramentas de IA utilizadas no desenvolvimento Quadro 13: Prompts utilizados Quadro 14: Ator do sistema Quadro 15: Síntese dos casos de uso Quadro 16: UC01, Autenticar usuário Quadro 17: UC02, Criar conta Quadro 18: UC03, Criar hábito a partir de molde Quadro 19: UC04, Definir meta mínima Quadro 20: UC05, Definir progressão da meta Quadro 21: UC06, Dividir a meta em sub-atividades Quadro 22: UC07, Definir dias e horários Quadro 23: UC08, Manter hábito Quadro 24: UC09, Evoluir tarefa Quadro 25: UC10, Exibir frase motivacional Quadro 26: UC11, Desistir da tarefa Quadro 27: UC12, Exibir resultado da tarefa Quadro 28: UC13, Consultar estatísticas do hábito Quadro 29: UC14, Manter perfil</w:t>
      </w:r>
    </w:p>
    <w:p>
      <w:pPr>
        <w:pStyle w:val="BodyText"/>
        <w:bidi w:val="0"/>
        <w:spacing w:before="0" w:after="120"/>
        <w:ind w:hanging="0" w:left="709" w:right="0"/>
        <w:jc w:val="both"/>
        <w:rPr>
          <w:sz w:val="22"/>
        </w:rPr>
      </w:pPr>
      <w:r>
        <w:rPr>
          <w:sz w:val="22"/>
        </w:rPr>
        <w:t>Total: vinte e nove quadros.</w:t>
      </w:r>
    </w:p>
    <w:p>
      <w:pPr>
        <w:pStyle w:val="BodyText"/>
        <w:bidi w:val="0"/>
        <w:spacing w:before="360" w:after="160"/>
        <w:ind w:hanging="0" w:left="360" w:right="360"/>
        <w:rPr>
          <w:b/>
          <w:color w:val="444444"/>
          <w:sz w:val="24"/>
        </w:rPr>
      </w:pPr>
      <w:r>
        <w:rPr>
          <w:b/>
          <w:color w:val="444444"/>
          <w:sz w:val="24"/>
        </w:rPr>
        <w:t>A.3 LISTA DE ABREVIATURAS, SIGLAS E ACRÔNIMOS</w:t>
      </w:r>
    </w:p>
    <w:p>
      <w:pPr>
        <w:pStyle w:val="BodyText"/>
        <w:bidi w:val="0"/>
        <w:spacing w:before="0" w:after="120"/>
        <w:ind w:hanging="0" w:left="0" w:right="0"/>
        <w:jc w:val="both"/>
        <w:rPr/>
      </w:pPr>
      <w:r>
        <w:rPr/>
        <w:t>Esta é a única das quatro listas que é digitada, e não campo automático: ela é uma tabela comum. Portanto aqui há mesmo o que acrescentar à mão.</w:t>
      </w:r>
    </w:p>
    <w:p>
      <w:pPr>
        <w:pStyle w:val="BodyText"/>
        <w:bidi w:val="0"/>
        <w:spacing w:before="0" w:after="120"/>
        <w:ind w:hanging="0" w:left="0" w:right="0"/>
        <w:jc w:val="both"/>
        <w:rPr/>
      </w:pPr>
      <w:r>
        <w:rPr/>
        <w:t>O Capítulo 7 e a seção 4.2 introduzem sete siglas que a tabela não registra. Acrescentar as linhas abaixo, mantendo a ordem alfabética da tabela existente, que já traz ABNT, API, APK, CRUD, JSON, JWT, PWA, REST, SQL, TDA, TDAH, UI, UML, UX e XP.</w:t>
      </w:r>
    </w:p>
    <w:tbl>
      <w:tblPr>
        <w:tblW w:w="9060" w:type="dxa"/>
        <w:jc w:val="left"/>
        <w:tblInd w:w="40" w:type="dxa"/>
        <w:tblLayout w:type="fixed"/>
        <w:tblCellMar>
          <w:top w:w="28" w:type="dxa"/>
          <w:left w:w="40" w:type="dxa"/>
          <w:bottom w:w="28" w:type="dxa"/>
          <w:right w:w="40" w:type="dxa"/>
        </w:tblCellMar>
      </w:tblPr>
      <w:tblGrid>
        <w:gridCol w:w="1789"/>
        <w:gridCol w:w="7271"/>
      </w:tblGrid>
      <w:tr>
        <w:trPr>
          <w:tblHeader w:val="true"/>
        </w:trPr>
        <w:tc>
          <w:tcPr>
            <w:tcW w:w="1789"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Sigla</w:t>
            </w:r>
          </w:p>
        </w:tc>
        <w:tc>
          <w:tcPr>
            <w:tcW w:w="727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Significado</w:t>
            </w:r>
          </w:p>
        </w:tc>
      </w:tr>
      <w:tr>
        <w:trPr/>
        <w:tc>
          <w:tcPr>
            <w:tcW w:w="17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HTTP</w:t>
            </w:r>
          </w:p>
        </w:tc>
        <w:tc>
          <w:tcPr>
            <w:tcW w:w="72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Hypertext Transfer Protocol</w:t>
            </w:r>
          </w:p>
        </w:tc>
      </w:tr>
      <w:tr>
        <w:trPr/>
        <w:tc>
          <w:tcPr>
            <w:tcW w:w="17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IEC</w:t>
            </w:r>
          </w:p>
        </w:tc>
        <w:tc>
          <w:tcPr>
            <w:tcW w:w="72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International Electrotechnical Commission</w:t>
            </w:r>
          </w:p>
        </w:tc>
      </w:tr>
      <w:tr>
        <w:trPr/>
        <w:tc>
          <w:tcPr>
            <w:tcW w:w="17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IEEE</w:t>
            </w:r>
          </w:p>
        </w:tc>
        <w:tc>
          <w:tcPr>
            <w:tcW w:w="72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Institute of Electrical and Electronics Engineers</w:t>
            </w:r>
          </w:p>
        </w:tc>
      </w:tr>
      <w:tr>
        <w:trPr/>
        <w:tc>
          <w:tcPr>
            <w:tcW w:w="17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ISO</w:t>
            </w:r>
          </w:p>
        </w:tc>
        <w:tc>
          <w:tcPr>
            <w:tcW w:w="72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International Organization for Standardization</w:t>
            </w:r>
          </w:p>
        </w:tc>
      </w:tr>
      <w:tr>
        <w:trPr/>
        <w:tc>
          <w:tcPr>
            <w:tcW w:w="17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ISTQB</w:t>
            </w:r>
          </w:p>
        </w:tc>
        <w:tc>
          <w:tcPr>
            <w:tcW w:w="72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International Software Testing Qualifications Board</w:t>
            </w:r>
          </w:p>
        </w:tc>
      </w:tr>
      <w:tr>
        <w:trPr/>
        <w:tc>
          <w:tcPr>
            <w:tcW w:w="17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W3C</w:t>
            </w:r>
          </w:p>
        </w:tc>
        <w:tc>
          <w:tcPr>
            <w:tcW w:w="72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World Wide Web Consortium</w:t>
            </w:r>
          </w:p>
        </w:tc>
      </w:tr>
      <w:tr>
        <w:trPr/>
        <w:tc>
          <w:tcPr>
            <w:tcW w:w="17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WCAG</w:t>
            </w:r>
          </w:p>
        </w:tc>
        <w:tc>
          <w:tcPr>
            <w:tcW w:w="72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Web Content Accessibility Guidelines</w:t>
            </w:r>
          </w:p>
        </w:tc>
      </w:tr>
    </w:tbl>
    <w:p>
      <w:pPr>
        <w:pStyle w:val="BodyText"/>
        <w:bidi w:val="0"/>
        <w:spacing w:before="0" w:after="120"/>
        <w:ind w:hanging="0" w:left="709" w:right="0"/>
        <w:jc w:val="both"/>
        <w:rPr>
          <w:sz w:val="22"/>
        </w:rPr>
      </w:pPr>
      <w:r>
        <w:rPr>
          <w:sz w:val="22"/>
        </w:rPr>
        <w:t>A tabela completa, com as vinte e duas siglas em ordem alfabética, fica assim. Os blocos de inserção são dois: cinco siglas entre CRUD e JSON, e duas entre UX e XP.</w:t>
      </w:r>
    </w:p>
    <w:p>
      <w:pPr>
        <w:pStyle w:val="BodyText"/>
        <w:bidi w:val="0"/>
        <w:spacing w:before="0" w:after="120"/>
        <w:ind w:firstLine="709" w:left="0" w:right="0"/>
        <w:jc w:val="both"/>
        <w:rPr/>
      </w:pPr>
      <w:r>
        <w:rPr/>
        <w:t xml:space="preserve">ABNT API APK CRUD </w:t>
      </w:r>
      <w:r>
        <w:rPr>
          <w:b/>
        </w:rPr>
        <w:t>HTTP IEC IEEE ISO ISTQB</w:t>
      </w:r>
      <w:r>
        <w:rPr/>
        <w:t xml:space="preserve"> JSON JWT PWA REST SQL TDA TDAH UI UML UX </w:t>
      </w:r>
      <w:r>
        <w:rPr>
          <w:b/>
        </w:rPr>
        <w:t>W3C WCAG</w:t>
      </w:r>
      <w:r>
        <w:rPr/>
        <w:t xml:space="preserve"> XP</w:t>
      </w:r>
    </w:p>
    <w:p>
      <w:pPr>
        <w:pStyle w:val="BodyText"/>
        <w:bidi w:val="0"/>
        <w:spacing w:before="360" w:after="160"/>
        <w:ind w:hanging="0" w:left="360" w:right="360"/>
        <w:rPr>
          <w:b/>
          <w:color w:val="444444"/>
          <w:sz w:val="24"/>
        </w:rPr>
      </w:pPr>
      <w:r>
        <w:rPr>
          <w:b/>
          <w:color w:val="444444"/>
          <w:sz w:val="24"/>
        </w:rPr>
        <w:t>A.4 SUMÁRIO</w:t>
      </w:r>
    </w:p>
    <w:p>
      <w:pPr>
        <w:pStyle w:val="BodyText"/>
        <w:bidi w:val="0"/>
        <w:spacing w:before="0" w:after="120"/>
        <w:ind w:hanging="0" w:left="0" w:right="0"/>
        <w:jc w:val="both"/>
        <w:rPr/>
      </w:pPr>
      <w:r>
        <w:rPr/>
        <w:t>O sumário é campo automático e coleta de Título 1 a Título 4. Não digite nada: depois de colar o Capítulo 7 com os estilos de título corretos, conforme a seção A.0, clique no sumário e atualize o campo.</w:t>
      </w:r>
    </w:p>
    <w:p>
      <w:pPr>
        <w:pStyle w:val="BodyText"/>
        <w:bidi w:val="0"/>
        <w:spacing w:before="0" w:after="120"/>
        <w:ind w:hanging="0" w:left="0" w:right="0"/>
        <w:jc w:val="both"/>
        <w:rPr/>
      </w:pPr>
      <w:r>
        <w:rPr/>
        <w:t>O que está guardado hoje descreve uma estrutura anterior do documento, em que o Capítulo 4 tinha uma seção 4.3 chamada "Funcionalidades" com três subseções, e o Capítulo 7 tinha "Testes funcionais da API" e "Validação da interface" como 7.1 e 7.2. A atualização do campo resolve isso sozinha.</w:t>
      </w:r>
    </w:p>
    <w:p>
      <w:pPr>
        <w:pStyle w:val="BodyText"/>
        <w:bidi w:val="0"/>
        <w:spacing w:before="0" w:after="120"/>
        <w:ind w:hanging="0" w:left="0" w:right="0"/>
        <w:jc w:val="both"/>
        <w:rPr/>
      </w:pPr>
      <w:r>
        <w:rPr/>
        <w:t xml:space="preserve">Duas coisas, porém, a atualização do campo </w:t>
      </w:r>
      <w:r>
        <w:rPr>
          <w:b/>
        </w:rPr>
        <w:t>não</w:t>
      </w:r>
      <w:r>
        <w:rPr/>
        <w:t xml:space="preserve"> resolve, e precisam de ajuste no corpo. Foram levantadas conferindo o estilo de parágrafo de todos os quarenta e sete títulos numerados do documento, e são as duas únicas fora do padrão:</w:t>
      </w:r>
    </w:p>
    <w:tbl>
      <w:tblPr>
        <w:tblW w:w="9060" w:type="dxa"/>
        <w:jc w:val="left"/>
        <w:tblInd w:w="40" w:type="dxa"/>
        <w:tblLayout w:type="fixed"/>
        <w:tblCellMar>
          <w:top w:w="28" w:type="dxa"/>
          <w:left w:w="40" w:type="dxa"/>
          <w:bottom w:w="28" w:type="dxa"/>
          <w:right w:w="40" w:type="dxa"/>
        </w:tblCellMar>
      </w:tblPr>
      <w:tblGrid>
        <w:gridCol w:w="1811"/>
        <w:gridCol w:w="1385"/>
        <w:gridCol w:w="1655"/>
        <w:gridCol w:w="4209"/>
      </w:tblGrid>
      <w:tr>
        <w:trPr>
          <w:tblHeader w:val="true"/>
        </w:trPr>
        <w:tc>
          <w:tcPr>
            <w:tcW w:w="181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Subseção</w:t>
            </w:r>
          </w:p>
        </w:tc>
        <w:tc>
          <w:tcPr>
            <w:tcW w:w="138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Estilo que tem hoje</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Estilo que precisa receber</w:t>
            </w:r>
          </w:p>
        </w:tc>
        <w:tc>
          <w:tcPr>
            <w:tcW w:w="4209"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Efeito do erro</w:t>
            </w:r>
          </w:p>
        </w:tc>
      </w:tr>
      <w:tr>
        <w:trPr/>
        <w:tc>
          <w:tcPr>
            <w:tcW w:w="181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3.1.1 Análise de similares</w:t>
            </w:r>
          </w:p>
        </w:tc>
        <w:tc>
          <w:tcPr>
            <w:tcW w:w="13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texto comum</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Título 3</w:t>
            </w:r>
          </w:p>
        </w:tc>
        <w:tc>
          <w:tcPr>
            <w:tcW w:w="42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Não aparece no sumário, porque o campo só coleta parágrafos com estilo de título</w:t>
            </w:r>
          </w:p>
        </w:tc>
      </w:tr>
      <w:tr>
        <w:trPr/>
        <w:tc>
          <w:tcPr>
            <w:tcW w:w="181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3.1.2 Pesquisa de Viabilidade</w:t>
            </w:r>
          </w:p>
        </w:tc>
        <w:tc>
          <w:tcPr>
            <w:tcW w:w="13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Título 4</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Título 3</w:t>
            </w:r>
          </w:p>
        </w:tc>
        <w:tc>
          <w:tcPr>
            <w:tcW w:w="42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Aparece no sumário recuada no mesmo nível das suas próprias subseções, 3.1.2.1 a 3.1.2.3, que estão corretas como Título 4</w:t>
            </w:r>
          </w:p>
        </w:tc>
      </w:tr>
    </w:tbl>
    <w:p>
      <w:pPr>
        <w:pStyle w:val="BodyText"/>
        <w:bidi w:val="0"/>
        <w:spacing w:before="0" w:after="120"/>
        <w:ind w:hanging="0" w:left="709" w:right="0"/>
        <w:jc w:val="both"/>
        <w:rPr>
          <w:sz w:val="22"/>
        </w:rPr>
      </w:pPr>
      <w:r>
        <w:rPr>
          <w:sz w:val="22"/>
        </w:rPr>
        <w:t>Os outros quarenta e cinco títulos estão com o estilo certo, inclusive 9.6 Painel administrativo, que já é Título 2. A regra de conferência: o número de níveis do número da seção define o estilo, de modo que "3.1.1" pede Título 3 e "3.1.2.1" pede Título 4.</w:t>
      </w:r>
    </w:p>
    <w:p>
      <w:pPr>
        <w:pStyle w:val="BodyText"/>
        <w:bidi w:val="0"/>
        <w:spacing w:before="0" w:after="120"/>
        <w:ind w:hanging="0" w:left="0" w:right="0"/>
        <w:jc w:val="both"/>
        <w:rPr/>
      </w:pPr>
      <w:r>
        <w:rPr/>
        <w:t>Depois de atualizar, o sumário deve listar esta estrutura. Serve de conferência.</w:t>
      </w:r>
    </w:p>
    <w:p>
      <w:pPr>
        <w:pStyle w:val="BodyText"/>
        <w:bidi w:val="0"/>
        <w:spacing w:before="0" w:after="120"/>
        <w:ind w:firstLine="709" w:left="0" w:right="0"/>
        <w:jc w:val="both"/>
        <w:rPr/>
      </w:pPr>
      <w:r>
        <w:rPr/>
        <w:t>1 INTRODUÇÃO AO PROBLEMA DA FORMAÇÃO DE HÁBITOS NO TDAH 1.1 Justificativa e Contextualização 1.2 Objetivos 2 TDAH, HÁBITOS ATÔMICOS E GAMIFICAÇÃO 2.1 Hábitos Atômicos e as quatro leis da mudança de comportamento 2.2 Gamificação como reforço comportamental 3 METODOLOGIA DE PESQUISA E DESENVOLVIMENTO 3.1 Metodologia da pesquisa 3.1.1 Análise de similares 3.1.2 Pesquisa de Viabilidade 3.1.2.1 Questionário 3.1.2.2 Resultados 3.1.2.3 Análise dos resultados 3.2 Metodologia de desenvolvimento 4 ESPECIFICAÇÃO E MODELAGEM DO TEMPO CLARO 4.1 Requisitos Funcionais 4.1.1 Criação e Configuração de Hábitos e Acesso de Conta 4.1.2 Execução do Hábito 4.1.3 Acompanhamento de Desempenho 4.2 Requisitos não funcionais 4.3 Diagrama de casos de uso 4.4 Diagrama de classes por domínio 5 TECNOLOGIAS E ARQUITETURA DA PLATAFORMA 5.1 Tecnologias de back-end 5.2 Tecnologias de front-end 5.3 Banco de dados 5.4 Arquitetura da plataforma 5.5 Ferramentas auxiliares 6 IDENTIDADE VISUAL E DESIGN DE INTERFACE 6.1 Identidade visual 6.2 Avatares dos hábitos 6.3 Telas do aplicativo 7 TESTES E VALIDAÇÃO DA APLICAÇÃO 7.1 Estratégia de teste 7.2 Técnicas de projeto dos casos de teste 7.2.1 Particionamento de equivalência e análise de valor limite 7.2.2 Tabela de decisão 7.2.3 Transição de estados 7.2.4 Técnicas baseadas em experiência e teste estático 7.3 Rastreabilidade e instrumento de registro 7.4 Teste piloto 7.5 Testes funcionais da API 7.6 Validação da interface 7.7 Resultados obtidos 7.8 Defeitos encontrados 8 INTELIGÊNCIAS ARTIFICIAIS UTILIZADAS NO DESENVOLVIMENTO 8.1 Panorama de uso 8.2 Ferramentas e finalidades 8.3 Prompts representativos 9 FUNCIONALIDADES FUTURAS 9.1 Notificações push 9.2 Widget na tela inicial 9.3 Versão Web 9.4 Verificação de execução por geolocalização 9.5 Assistente de voz para guiar a execução 9.6 Painel administrativo 10 CONSIDERAÇÕES FINAIS 10.1 Dificuldades encontradas REFERÊNCIAS APÊNDICE A: QUESTIONÁRIO DA PESQUISA DE VIABILIDADE APÊNDICE B: DOCUMENTAÇÃO DOS CASOS DE USO</w:t>
      </w:r>
    </w:p>
    <w:p>
      <w:pPr>
        <w:pStyle w:val="BodyText"/>
        <w:bidi w:val="0"/>
        <w:spacing w:before="0" w:after="120"/>
        <w:ind w:hanging="0" w:left="709" w:right="0"/>
        <w:jc w:val="both"/>
        <w:rPr>
          <w:sz w:val="22"/>
        </w:rPr>
      </w:pPr>
      <w:r>
        <w:rPr>
          <w:sz w:val="22"/>
        </w:rPr>
        <w:t>O sumário atual registra 6.2 como "Telas do aplicativo", repetindo 6.3. No corpo, 6.2 é "Avatares dos hábitos". Essa também é correção que a atualização do campo faz sozinha.</w:t>
      </w:r>
    </w:p>
    <w:p>
      <w:pPr>
        <w:pStyle w:val="BodyText"/>
        <w:pBdr>
          <w:bottom w:val="single" w:sz="16" w:space="3" w:color="888888"/>
        </w:pBdr>
        <w:bidi w:val="0"/>
        <w:spacing w:before="560" w:after="200"/>
        <w:ind w:hanging="0" w:left="560" w:right="560"/>
        <w:rPr>
          <w:b/>
          <w:color w:val="444444"/>
          <w:sz w:val="28"/>
        </w:rPr>
      </w:pPr>
      <w:r>
        <w:rPr>
          <w:b/>
          <w:color w:val="444444"/>
          <w:sz w:val="28"/>
        </w:rPr>
        <w:t>PARTE B: CAPÍTULO 4, ESPECIFICAÇÃO E MODELAGEM</w:t>
      </w:r>
    </w:p>
    <w:p>
      <w:pPr>
        <w:pStyle w:val="BodyText"/>
        <w:bidi w:val="0"/>
        <w:spacing w:before="360" w:after="160"/>
        <w:ind w:hanging="0" w:left="360" w:right="360"/>
        <w:rPr>
          <w:b/>
          <w:color w:val="444444"/>
          <w:sz w:val="24"/>
        </w:rPr>
      </w:pPr>
      <w:r>
        <w:rPr>
          <w:b/>
          <w:color w:val="444444"/>
          <w:sz w:val="24"/>
        </w:rPr>
        <w:t>B.1 SEÇÃO 4.1.1, QUADRO 3</w:t>
      </w:r>
    </w:p>
    <w:p>
      <w:pPr>
        <w:pStyle w:val="BodyText"/>
        <w:bidi w:val="0"/>
        <w:spacing w:before="0" w:after="120"/>
        <w:ind w:hanging="0" w:left="0" w:right="0"/>
        <w:jc w:val="both"/>
        <w:rPr/>
      </w:pPr>
      <w:r>
        <w:rPr/>
        <w:t>Três linhas mudam. O restante do quadro fica como está.</w:t>
      </w:r>
    </w:p>
    <w:tbl>
      <w:tblPr>
        <w:tblW w:w="9060" w:type="dxa"/>
        <w:jc w:val="left"/>
        <w:tblInd w:w="40" w:type="dxa"/>
        <w:tblLayout w:type="fixed"/>
        <w:tblCellMar>
          <w:top w:w="28" w:type="dxa"/>
          <w:left w:w="40" w:type="dxa"/>
          <w:bottom w:w="28" w:type="dxa"/>
          <w:right w:w="40" w:type="dxa"/>
        </w:tblCellMar>
      </w:tblPr>
      <w:tblGrid>
        <w:gridCol w:w="818"/>
        <w:gridCol w:w="3028"/>
        <w:gridCol w:w="1516"/>
        <w:gridCol w:w="3698"/>
      </w:tblGrid>
      <w:tr>
        <w:trPr>
          <w:tblHeader w:val="true"/>
        </w:trPr>
        <w:tc>
          <w:tcPr>
            <w:tcW w:w="81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Linha</w:t>
            </w:r>
          </w:p>
        </w:tc>
        <w:tc>
          <w:tcPr>
            <w:tcW w:w="302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está hoje</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passa a ser</w:t>
            </w:r>
          </w:p>
        </w:tc>
        <w:tc>
          <w:tcPr>
            <w:tcW w:w="369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Por quê</w:t>
            </w:r>
          </w:p>
        </w:tc>
      </w:tr>
      <w:tr>
        <w:trPr/>
        <w:tc>
          <w:tcPr>
            <w:tcW w:w="81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RF01</w:t>
            </w:r>
          </w:p>
        </w:tc>
        <w:tc>
          <w:tcPr>
            <w:tcW w:w="302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login</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Login</w:t>
            </w:r>
          </w:p>
        </w:tc>
        <w:tc>
          <w:tcPr>
            <w:tcW w:w="36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Inicial minúscula, única do quadro</w:t>
            </w:r>
          </w:p>
        </w:tc>
      </w:tr>
      <w:tr>
        <w:trPr/>
        <w:tc>
          <w:tcPr>
            <w:tcW w:w="81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RF02</w:t>
            </w:r>
          </w:p>
        </w:tc>
        <w:tc>
          <w:tcPr>
            <w:tcW w:w="302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 ficam editáveis depois (F10) ...</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 ficam editáveis depois (RF10) ...</w:t>
            </w:r>
          </w:p>
        </w:tc>
        <w:tc>
          <w:tcPr>
            <w:tcW w:w="36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Referência remanescente da numeração antiga, em que as funcionalidades eram identificadas por F</w:t>
            </w:r>
          </w:p>
        </w:tc>
      </w:tr>
      <w:tr>
        <w:trPr/>
        <w:tc>
          <w:tcPr>
            <w:tcW w:w="81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RF08</w:t>
            </w:r>
          </w:p>
        </w:tc>
        <w:tc>
          <w:tcPr>
            <w:tcW w:w="302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Editar e arquivar hábito / Edição dos parâmetros de um hábito existente e arquivamento sem perda do histórico de execuções.</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Ver o quadro completo abaixo</w:t>
            </w:r>
          </w:p>
        </w:tc>
        <w:tc>
          <w:tcPr>
            <w:tcW w:w="36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O sistema não oferece caminho de retorno para um hábito arquivado, portanto a operação é exclusão, e descrevê-la como arquivamento afirma uma capacidade que não existe</w:t>
            </w:r>
          </w:p>
        </w:tc>
      </w:tr>
    </w:tbl>
    <w:p>
      <w:pPr>
        <w:pStyle w:val="BodyText"/>
        <w:bidi w:val="0"/>
        <w:spacing w:before="0" w:after="120"/>
        <w:ind w:hanging="0" w:left="0" w:right="0"/>
        <w:jc w:val="both"/>
        <w:rPr/>
      </w:pPr>
      <w:r>
        <w:rPr/>
        <w:t>Quadro completo, já com as três correções, pronto para substituir:</w:t>
      </w:r>
    </w:p>
    <w:p>
      <w:pPr>
        <w:pStyle w:val="Heading5"/>
        <w:bidi w:val="0"/>
        <w:jc w:val="left"/>
        <w:rPr/>
      </w:pPr>
      <w:r>
        <w:rPr/>
        <w:t>Quadro 3: Funcionalidades de Criação e Configuração de Hábitos e Acesso de conta</w:t>
      </w:r>
    </w:p>
    <w:tbl>
      <w:tblPr>
        <w:tblW w:w="9060" w:type="dxa"/>
        <w:jc w:val="left"/>
        <w:tblInd w:w="40" w:type="dxa"/>
        <w:tblLayout w:type="fixed"/>
        <w:tblCellMar>
          <w:top w:w="28" w:type="dxa"/>
          <w:left w:w="40" w:type="dxa"/>
          <w:bottom w:w="28" w:type="dxa"/>
          <w:right w:w="40" w:type="dxa"/>
        </w:tblCellMar>
      </w:tblPr>
      <w:tblGrid>
        <w:gridCol w:w="821"/>
        <w:gridCol w:w="1775"/>
        <w:gridCol w:w="6464"/>
      </w:tblGrid>
      <w:tr>
        <w:trPr>
          <w:tblHeader w:val="true"/>
        </w:trPr>
        <w:tc>
          <w:tcPr>
            <w:tcW w:w="82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ID</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Funcionalidade</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RF01</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Login</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Conta com e-mail e senha; autenticação via token.</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RF02</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Cadastro</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Conta com e-mail, senha e idioma de preferência; fuso horário e tema recebem valor padrão e ficam editáveis depois (RF10); autenticação via token.</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RF03</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Moldes fixos de hábitos</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Três categorias pré-definidas, Água, Estudo e Exercício, cada uma associando automaticamente o tipo de medida (tempo ou quantidade).</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RF04</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Meta mínima base</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Definição do valor mínimo diário a ser cumprido por dia.</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RF05</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Progressão automática de meta</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Incremento configurável da meta diária a cada N dias de ofensiva mantida, até um teto opcional, viabiliza o princípio de começar pequeno e aumentar gradualmente.</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RF06</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Sub-metas (vezes ao dia)</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Divisão da meta diária em múltiplas execuções, com a meta do dia repartida entre elas.</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RF07</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Horário por sub-atividade</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Definição de horário de início e, opcionalmente, do fim para cada ocorrência diária do hábito.</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RF08</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Editar e excluir hábito</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Edição dos parâmetros de um hábito existente e exclusão do hábito, que o retira da lista do usuário e libera vaga no limite de hábitos ativos. O histórico de execuções permanece gravado, por integridade referencial, mas não há caminho de retorno pela interface.</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RF09</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Frase motivacional pré-tarefa</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Exibição de frase da biblioteca de textos, específica da categoria do hábito, antes do início da execução.</w:t>
            </w:r>
          </w:p>
        </w:tc>
      </w:tr>
      <w:tr>
        <w:trPr/>
        <w:tc>
          <w:tcPr>
            <w:tcW w:w="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RF10</w:t>
            </w:r>
          </w:p>
        </w:tc>
        <w:tc>
          <w:tcPr>
            <w:tcW w:w="17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Manter perfil</w:t>
            </w:r>
          </w:p>
        </w:tc>
        <w:tc>
          <w:tcPr>
            <w:tcW w:w="64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Mudar nome, senha, idioma do aplicativo, fuso horário e tema de cores.</w:t>
            </w:r>
          </w:p>
        </w:tc>
      </w:tr>
    </w:tbl>
    <w:p>
      <w:pPr>
        <w:pStyle w:val="BodyText"/>
        <w:bidi w:val="0"/>
        <w:spacing w:before="60" w:after="240"/>
        <w:ind w:hanging="0" w:left="60" w:right="60"/>
        <w:rPr>
          <w:sz w:val="20"/>
        </w:rPr>
      </w:pPr>
      <w:r>
        <w:rPr>
          <w:sz w:val="20"/>
        </w:rPr>
        <w:t>Fonte: Autor</w:t>
      </w:r>
    </w:p>
    <w:p>
      <w:pPr>
        <w:pStyle w:val="BodyText"/>
        <w:bidi w:val="0"/>
        <w:spacing w:before="360" w:after="160"/>
        <w:ind w:hanging="0" w:left="360" w:right="360"/>
        <w:rPr>
          <w:b/>
          <w:color w:val="444444"/>
          <w:sz w:val="24"/>
        </w:rPr>
      </w:pPr>
      <w:r>
        <w:rPr>
          <w:b/>
          <w:color w:val="444444"/>
          <w:sz w:val="24"/>
        </w:rPr>
        <w:t>B.2 SEÇÃO 4.1.3, QUADRO 5</w:t>
      </w:r>
    </w:p>
    <w:p>
      <w:pPr>
        <w:pStyle w:val="BodyText"/>
        <w:bidi w:val="0"/>
        <w:spacing w:before="0" w:after="120"/>
        <w:ind w:hanging="0" w:left="0" w:right="0"/>
        <w:jc w:val="both"/>
        <w:rPr/>
      </w:pPr>
      <w:r>
        <w:rPr/>
        <w:t>Uma linha muda. A descrição de RF21 cita as funcionalidades pelo identificador antigo.</w:t>
      </w:r>
    </w:p>
    <w:tbl>
      <w:tblPr>
        <w:tblW w:w="9060" w:type="dxa"/>
        <w:jc w:val="left"/>
        <w:tblInd w:w="40" w:type="dxa"/>
        <w:tblLayout w:type="fixed"/>
        <w:tblCellMar>
          <w:top w:w="28" w:type="dxa"/>
          <w:left w:w="40" w:type="dxa"/>
          <w:bottom w:w="28" w:type="dxa"/>
          <w:right w:w="40" w:type="dxa"/>
        </w:tblCellMar>
      </w:tblPr>
      <w:tblGrid>
        <w:gridCol w:w="824"/>
        <w:gridCol w:w="4125"/>
        <w:gridCol w:w="4111"/>
      </w:tblGrid>
      <w:tr>
        <w:trPr>
          <w:tblHeader w:val="true"/>
        </w:trPr>
        <w:tc>
          <w:tcPr>
            <w:tcW w:w="82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Linha</w:t>
            </w:r>
          </w:p>
        </w:tc>
        <w:tc>
          <w:tcPr>
            <w:tcW w:w="412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está hoje</w:t>
            </w:r>
          </w:p>
        </w:tc>
        <w:tc>
          <w:tcPr>
            <w:tcW w:w="411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passa a ser</w:t>
            </w:r>
          </w:p>
        </w:tc>
      </w:tr>
      <w:tr>
        <w:trPr/>
        <w:tc>
          <w:tcPr>
            <w:tcW w:w="8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RF21</w:t>
            </w:r>
          </w:p>
        </w:tc>
        <w:tc>
          <w:tcPr>
            <w:tcW w:w="412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Esta página reúne as estatísticas listadas nas funcionalidades F17, F18, F19 e F20.</w:t>
            </w:r>
          </w:p>
        </w:tc>
        <w:tc>
          <w:tcPr>
            <w:tcW w:w="411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Esta página reúne as estatísticas listadas nos requisitos RF17, RF18, RF19 e RF20.</w:t>
            </w:r>
          </w:p>
        </w:tc>
      </w:tr>
    </w:tbl>
    <w:p>
      <w:pPr>
        <w:pStyle w:val="BodyText"/>
        <w:bidi w:val="0"/>
        <w:spacing w:before="360" w:after="160"/>
        <w:ind w:hanging="0" w:left="360" w:right="360"/>
        <w:rPr>
          <w:b/>
          <w:color w:val="444444"/>
          <w:sz w:val="24"/>
        </w:rPr>
      </w:pPr>
      <w:r>
        <w:rPr>
          <w:b/>
          <w:color w:val="444444"/>
          <w:sz w:val="24"/>
        </w:rPr>
        <w:t>B.3 SEÇÃO 4.2, TEXTO E QUADRO 6</w:t>
      </w:r>
    </w:p>
    <w:p>
      <w:pPr>
        <w:pStyle w:val="BodyText"/>
        <w:bidi w:val="0"/>
        <w:spacing w:before="0" w:after="120"/>
        <w:ind w:hanging="0" w:left="0" w:right="0"/>
        <w:jc w:val="both"/>
        <w:rPr/>
      </w:pPr>
      <w:r>
        <w:rPr/>
        <w:t>Os requisitos não funcionais foram revisados contra a ISO/IEC 25010, que é a norma do modelo de qualidade de produto de software. Três dos catorze anteriores não se sustentam como requisito não funcional e saíram, e os onze restantes foram renumerados em sequência fechada. Os três que saíram:</w:t>
      </w:r>
    </w:p>
    <w:tbl>
      <w:tblPr>
        <w:tblW w:w="9060" w:type="dxa"/>
        <w:jc w:val="left"/>
        <w:tblInd w:w="40" w:type="dxa"/>
        <w:tblLayout w:type="fixed"/>
        <w:tblCellMar>
          <w:top w:w="28" w:type="dxa"/>
          <w:left w:w="40" w:type="dxa"/>
          <w:bottom w:w="28" w:type="dxa"/>
          <w:right w:w="40" w:type="dxa"/>
        </w:tblCellMar>
      </w:tblPr>
      <w:tblGrid>
        <w:gridCol w:w="842"/>
        <w:gridCol w:w="2291"/>
        <w:gridCol w:w="5927"/>
      </w:tblGrid>
      <w:tr>
        <w:trPr>
          <w:tblHeader w:val="true"/>
        </w:trPr>
        <w:tc>
          <w:tcPr>
            <w:tcW w:w="842"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RNF antigo</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Enunciado</w:t>
            </w:r>
          </w:p>
        </w:tc>
        <w:tc>
          <w:tcPr>
            <w:tcW w:w="592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Motivo da eliminação</w:t>
            </w:r>
          </w:p>
        </w:tc>
      </w:tr>
      <w:tr>
        <w:trPr/>
        <w:tc>
          <w:tcPr>
            <w:tcW w:w="84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RNF03</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Calibração de metas assistida por questionário</w:t>
            </w:r>
          </w:p>
        </w:tc>
        <w:tc>
          <w:tcPr>
            <w:tcW w:w="59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Descreve o que o sistema faz, não o quão bem o faz. Removê-lo retira uma tela do produto, logo é requisito funcional e não atributo de qualidade</w:t>
            </w:r>
          </w:p>
        </w:tc>
      </w:tr>
      <w:tr>
        <w:trPr/>
        <w:tc>
          <w:tcPr>
            <w:tcW w:w="84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RNF10</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Dados armazenados de forma consistente em banco PostgreSQL</w:t>
            </w:r>
          </w:p>
        </w:tc>
        <w:tc>
          <w:tcPr>
            <w:tcW w:w="59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"Persistência" não é característica da ISO/IEC 25010, e nomear o banco é decisão de projeto, que a ISO/IEC/IEEE 29148 não admite em enunciado de requisito. A consistência dos dados permanece coberta pelos atuais RNF06 e RNF07, e a escolha do PostgreSQL segue declarada na seção 5.3</w:t>
            </w:r>
          </w:p>
        </w:tc>
      </w:tr>
      <w:tr>
        <w:trPr/>
        <w:tc>
          <w:tcPr>
            <w:tcW w:w="84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RNF13</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 API deve suportar o crescimento de usuários e hábitos</w:t>
            </w:r>
          </w:p>
        </w:tc>
        <w:tc>
          <w:tcPr>
            <w:tcW w:w="59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Escalabilidade não é característica na edição de 2011 da norma, que é a citada neste trabalho</w:t>
            </w:r>
          </w:p>
        </w:tc>
      </w:tr>
    </w:tbl>
    <w:p>
      <w:pPr>
        <w:pStyle w:val="BodyText"/>
        <w:bidi w:val="0"/>
        <w:spacing w:before="0" w:after="120"/>
        <w:ind w:hanging="0" w:left="0" w:right="0"/>
        <w:jc w:val="both"/>
        <w:rPr/>
      </w:pPr>
      <w:r>
        <w:rPr/>
        <w:t>Além das eliminações, a coluna "Categoria" foi reescrita no vocabulário da norma. Integridade, acessibilidade, disponibilidade e tolerância a falhas não são características da ISO/IEC 25010, e sim subcaracterísticas, respectivamente de Segurança, Usabilidade, Confiabilidade e Confiabilidade. A notação adotada registra a característica seguida da subcaracterística entre parênteses.</w:t>
      </w:r>
    </w:p>
    <w:p>
      <w:pPr>
        <w:pStyle w:val="BodyText"/>
        <w:bidi w:val="0"/>
        <w:spacing w:before="0" w:after="120"/>
        <w:ind w:hanging="0" w:left="0" w:right="0"/>
        <w:jc w:val="both"/>
        <w:rPr/>
      </w:pPr>
      <w:r>
        <w:rPr/>
        <w:t>Texto novo da seção, substituindo o parágrafo único atual:</w:t>
      </w:r>
    </w:p>
    <w:p>
      <w:pPr>
        <w:pStyle w:val="BodyText"/>
        <w:bidi w:val="0"/>
        <w:spacing w:before="0" w:after="120"/>
        <w:ind w:firstLine="709" w:left="0" w:right="0"/>
        <w:jc w:val="both"/>
        <w:rPr/>
      </w:pPr>
      <w:r>
        <w:rPr/>
        <w:t>Os requisitos não funcionais expressam restrições e atributos de qualidade do sistema. Para que cada atributo fosse declarado em vocabulário reconhecido, e não em termos próprios, a lista foi classificada segundo o modelo de qualidade de produto da ISO/IEC 25010 (ISO, 2011), que organiza a qualidade de software em oito características, cada uma dividida em subcaracterísticas. O Quadro 6 relaciona os requisitos com a característica e a subcaracterística correspondentes.</w:t>
      </w:r>
    </w:p>
    <w:p>
      <w:pPr>
        <w:pStyle w:val="BodyText"/>
        <w:bidi w:val="0"/>
        <w:spacing w:before="0" w:after="120"/>
        <w:ind w:hanging="0" w:left="709" w:right="0"/>
        <w:jc w:val="both"/>
        <w:rPr>
          <w:sz w:val="22"/>
        </w:rPr>
      </w:pPr>
      <w:r>
        <w:rPr>
          <w:sz w:val="22"/>
        </w:rPr>
        <w:t xml:space="preserve">O parágrafo seguinte foi proposto e </w:t>
      </w:r>
      <w:r>
        <w:rPr>
          <w:b/>
          <w:sz w:val="22"/>
        </w:rPr>
        <w:t>não foi incorporado</w:t>
      </w:r>
      <w:r>
        <w:rPr>
          <w:sz w:val="22"/>
        </w:rPr>
        <w:t>, o que é decisão defensável: ele narra a eliminação de três requisitos da versão anterior, assunto que interessa ao histórico do trabalho e não ao leitor da especificação. Fica registrado aqui para o caso de a banca perguntar por que a lista encolheu de catorze para onze.</w:t>
      </w:r>
    </w:p>
    <w:p>
      <w:pPr>
        <w:pStyle w:val="BodyText"/>
        <w:bidi w:val="0"/>
        <w:spacing w:before="0" w:after="120"/>
        <w:ind w:firstLine="709" w:left="0" w:right="0"/>
        <w:jc w:val="both"/>
        <w:rPr/>
      </w:pPr>
      <w:r>
        <w:rPr/>
        <w:t>Três requisitos da versão anterior desta lista foram eliminados nessa revisão. A calibração de metas assistida por questionário descreve um comportamento do sistema, e não um atributo de qualidade, de modo que seu lugar seria entre os requisitos funcionais. O armazenamento consistente em banco PostgreSQL nomeia uma tecnologia, que não cabe em enunciado de requisito, e o atributo que ele pretendia expressar, a integridade dos dados, já consta do Quadro 6. A escalabilidade da API não figura entre as características da edição de 2011 da ISO/IEC 25010, adotada aqui.</w:t>
      </w:r>
    </w:p>
    <w:p>
      <w:pPr>
        <w:pStyle w:val="BodyText"/>
        <w:bidi w:val="0"/>
        <w:spacing w:before="0" w:after="120"/>
        <w:ind w:hanging="0" w:left="709" w:right="0"/>
        <w:jc w:val="both"/>
        <w:rPr>
          <w:sz w:val="22"/>
        </w:rPr>
      </w:pPr>
      <w:r>
        <w:rPr>
          <w:sz w:val="22"/>
        </w:rPr>
        <w:t>Note que a menção à ISO/IEC/IEEE 29148 saiu desse parágrafo: mantê-la obrigaria a acrescentar a norma às referências, e ela não é citada em nenhum outro ponto do documento.</w:t>
      </w:r>
    </w:p>
    <w:p>
      <w:pPr>
        <w:pStyle w:val="Heading5"/>
        <w:bidi w:val="0"/>
        <w:jc w:val="left"/>
        <w:rPr/>
      </w:pPr>
      <w:r>
        <w:rPr/>
        <w:t>Quadro 6: Requisitos não funcionais do Tempo Claro</w:t>
      </w:r>
    </w:p>
    <w:tbl>
      <w:tblPr>
        <w:tblW w:w="9060" w:type="dxa"/>
        <w:jc w:val="left"/>
        <w:tblInd w:w="40" w:type="dxa"/>
        <w:tblLayout w:type="fixed"/>
        <w:tblCellMar>
          <w:top w:w="28" w:type="dxa"/>
          <w:left w:w="40" w:type="dxa"/>
          <w:bottom w:w="28" w:type="dxa"/>
          <w:right w:w="40" w:type="dxa"/>
        </w:tblCellMar>
      </w:tblPr>
      <w:tblGrid>
        <w:gridCol w:w="827"/>
        <w:gridCol w:w="2817"/>
        <w:gridCol w:w="5416"/>
      </w:tblGrid>
      <w:tr>
        <w:trPr>
          <w:tblHeader w:val="true"/>
        </w:trPr>
        <w:tc>
          <w:tcPr>
            <w:tcW w:w="82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ID</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Categoria</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Requisito não funcional</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RNF01</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Usabilidade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Foco isolado, com um hábito por tela, reduzindo a sobrecarga cognitiva.</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RNF02</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Usabilidade (acessibilidade)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Adequado a usuários com TDAH, com fluxo livre de distrações.</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RNF03</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Eficiência de desempenho (comportamento temporal)</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 tela principal deve carregar os hábitos em tempo aceitável após o login.</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RNF04</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Confiabilidade (recuperabilidade)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O estado da execução deve ser salvo e recuperado após minimizar o aplicativo.</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RNF05</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Segurança (confidencialidade)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Senhas armazenadas com hash e acesso protegido por token JWT.</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RNF06</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Segurança (integridade)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 pontuação deve ser calculada exclusivamente no servidor.</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RNF07</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Segurança (integridade)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Execuções duplicadas devem ser bloqueadas por token.</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RNF08</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Manutenibilidade (modularidade)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 arquitetura separa front-end (React) e back-end (API Java REST).</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RNF09</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Confiabilidade (disponibilidade)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Back-end e banco de dados implantados em nuvem.</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RNF10</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Portabilidade (adaptabilidade)</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Respeitar o fuso horário e o idioma do usuário.</w:t>
            </w:r>
          </w:p>
        </w:tc>
      </w:tr>
      <w:tr>
        <w:trPr/>
        <w:tc>
          <w:tcPr>
            <w:tcW w:w="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RNF11</w:t>
            </w:r>
          </w:p>
        </w:tc>
        <w:tc>
          <w:tcPr>
            <w:tcW w:w="2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Confiabilidade (tolerância a falhas)</w:t>
            </w:r>
          </w:p>
        </w:tc>
        <w:tc>
          <w:tcPr>
            <w:tcW w:w="54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A execução em andamento deve resistir à perda momentânea de conexão, por cache local; o mesmo se aplica ao widget, previsto como trabalho futuro.</w:t>
            </w:r>
          </w:p>
        </w:tc>
      </w:tr>
    </w:tbl>
    <w:p>
      <w:pPr>
        <w:pStyle w:val="BodyText"/>
        <w:bidi w:val="0"/>
        <w:spacing w:before="60" w:after="240"/>
        <w:ind w:hanging="0" w:left="60" w:right="60"/>
        <w:rPr>
          <w:sz w:val="20"/>
        </w:rPr>
      </w:pPr>
      <w:r>
        <w:rPr>
          <w:sz w:val="20"/>
        </w:rPr>
        <w:t>Fonte: Autor</w:t>
      </w:r>
    </w:p>
    <w:p>
      <w:pPr>
        <w:pStyle w:val="BodyText"/>
        <w:bidi w:val="0"/>
        <w:spacing w:before="0" w:after="120"/>
        <w:ind w:hanging="0" w:left="709" w:right="0"/>
        <w:jc w:val="both"/>
        <w:rPr>
          <w:sz w:val="22"/>
        </w:rPr>
      </w:pPr>
      <w:r>
        <w:rPr>
          <w:sz w:val="22"/>
        </w:rPr>
        <w:t>De-para completo, necessário porque o Capítulo 7 e o Apêndice B citam requisitos não funcionais pelo identificador: RNF01 e RNF02 mantêm o número; o antigo RNF04 passa a RNF03; RNF05 passa a RNF04; RNF06 passa a RNF05; RNF07 passa a RNF06; RNF08 passa a RNF07; RNF09 passa a RNF08; RNF11 passa a RNF09; RNF12 passa a RNF10; RNF14 passa a RNF11. Os antigos RNF03, RNF10 e RNF13 não têm sucessor.</w:t>
      </w:r>
    </w:p>
    <w:p>
      <w:pPr>
        <w:pStyle w:val="BodyText"/>
        <w:bidi w:val="0"/>
        <w:spacing w:before="360" w:after="160"/>
        <w:ind w:hanging="0" w:left="360" w:right="360"/>
        <w:rPr>
          <w:b/>
          <w:color w:val="444444"/>
          <w:sz w:val="24"/>
        </w:rPr>
      </w:pPr>
      <w:r>
        <w:rPr>
          <w:b/>
          <w:color w:val="444444"/>
          <w:sz w:val="24"/>
        </w:rPr>
        <w:t>B.4 SEÇÃO 4.3, DIAGRAMA DE CASOS DE USO</w:t>
      </w:r>
    </w:p>
    <w:p>
      <w:pPr>
        <w:pStyle w:val="BodyText"/>
        <w:bidi w:val="0"/>
        <w:spacing w:before="0" w:after="120"/>
        <w:ind w:hanging="0" w:left="0" w:right="0"/>
        <w:jc w:val="both"/>
        <w:rPr/>
      </w:pPr>
      <w:r>
        <w:rPr/>
        <w:t>A seção precisa de texto novo porque o diagrama vigente tem catorze casos de uso, e o texto atual descreve outro desenho. A figura mantém o número 7 e a legenda; substituir apenas o arquivo de imagem e o texto da seção pelo que segue.</w:t>
      </w:r>
    </w:p>
    <w:p>
      <w:pPr>
        <w:pStyle w:val="BodyText"/>
        <w:bidi w:val="0"/>
        <w:spacing w:before="0" w:after="120"/>
        <w:ind w:hanging="0" w:left="709" w:right="0"/>
        <w:jc w:val="both"/>
        <w:rPr>
          <w:sz w:val="22"/>
        </w:rPr>
      </w:pPr>
      <w:r>
        <w:rPr>
          <w:sz w:val="22"/>
        </w:rPr>
        <w:t>A imagem é a exportada do draw.io, hoje em tcc/figura-07-casos-de-uso-gerado.drawio(1).png. Vale exportar de novo antes de colar: o arquivo atual tem 618 por 572 pixels, o que na largura em que a figura aparece impressa resulta em cerca de 130 pontos por polegada, abaixo dos 300 que a gráfica costuma pedir. No draw.io, em Arquivo, Exportar como, PNG, basta marcar Zoom 400% ou informar 1600 pixels de largura; o desenho não muda, só a resolução do arquivo.</w:t>
      </w:r>
    </w:p>
    <w:p>
      <w:pPr>
        <w:pStyle w:val="BodyText"/>
        <w:bidi w:val="0"/>
        <w:spacing w:before="0" w:after="120"/>
        <w:ind w:firstLine="709" w:left="0" w:right="0"/>
        <w:jc w:val="both"/>
        <w:rPr/>
      </w:pPr>
      <w:r>
        <w:rPr/>
        <w:t>O diagrama de casos de uso, conforme Guedes (2018), identifica os atores que interagem com o sistema e oferece uma visão externa das funcionalidades sob a perspectiva desses atores. A Figura 7 apresenta o diagrama elaborado para o Tempo Claro na ferramenta diagrams.net, com um único ator, o usuário, e catorze casos de uso. Cada elipse é rastreável pelo identificador "UC" seguido do número no Apêndice B, onde é descrita com ator principal, objetivo, pré-condições, fluxo principal, fluxos alternativos, fluxos de exceção e pós-condições.</w:t>
      </w:r>
    </w:p>
    <w:p>
      <w:pPr>
        <w:pStyle w:val="BodyText"/>
        <w:bidi w:val="0"/>
        <w:spacing w:before="0" w:after="120"/>
        <w:ind w:firstLine="709" w:left="0" w:right="0"/>
        <w:jc w:val="both"/>
        <w:rPr/>
      </w:pPr>
      <w:r>
        <w:rPr/>
        <w:t>A relação entre requisito e caso de uso não é de um para um. Doze casos de uso realizam um requisito funcional cada, e dois reúnem mais de um, por corresponderem a uma mesma sequência de ações do usuário tanto na interface quanto na API. UC09, Evoluir tarefa, reúne RF11, RF12, RF15 e RF16, que descrevem a tarefa do disparo da ocorrência ao registro do valor realizado, inclusive o excedente. UC13, Consultar estatísticas do hábito, reúne RF17 a RF21, que descrevem os indicadores apresentados em uma única tela de acompanhamento. Os vinte e um requisitos funcionais ficam, assim, integralmente cobertos.</w:t>
      </w:r>
    </w:p>
    <w:p>
      <w:pPr>
        <w:pStyle w:val="BodyText"/>
        <w:bidi w:val="0"/>
        <w:spacing w:before="0" w:after="120"/>
        <w:ind w:firstLine="709" w:left="0" w:right="0"/>
        <w:jc w:val="both"/>
        <w:rPr/>
      </w:pPr>
      <w:r>
        <w:rPr/>
        <w:t>Dois casos de uso são alcançáveis sem sessão aberta e por isso associam-se diretamente ao ator: UC01, autenticar usuário, e UC02, criar conta. Os três que concentram o uso corrente do aplicativo, UC09, UC13 e UC14, estendem UC01, o que expressa que só ocorrem a partir de uma sessão aberta.</w:t>
      </w:r>
    </w:p>
    <w:p>
      <w:pPr>
        <w:pStyle w:val="BodyText"/>
        <w:bidi w:val="0"/>
        <w:spacing w:before="0" w:after="120"/>
        <w:ind w:firstLine="709" w:left="0" w:right="0"/>
        <w:jc w:val="both"/>
        <w:rPr/>
      </w:pPr>
      <w:r>
        <w:rPr/>
        <w:t>Os relacionamentos seguem as definições de Guedes (2018). A inclusão, representada pelo estereótipo «include», indica execução obrigatória do caso de uso incluído, e a seta parte do caso de uso base em direção ao incluído. É o que liga a cadeia de configuração do hábito, de UC03 a UC07, em que cada caso de uso inclui apenas o seguinte, e o que liga UC09 a UC10, já que a frase motivacional precede toda execução. A extensão, representada pelo estereótipo «extend», indica execução condicional, e a seta parte do caso de uso que estende em direção ao caso de uso base. É o que liga UC04 a UC08, porque a configuração só é reaberta quando o usuário escolhe editar, e UC11 a UC10, porque desistir é um desfecho possível e não obrigatório da tarefa. Os dois desfechos da tarefa, concluir e desistir, convergem para UC12, que exibe o resultado: UC10 e UC11 o incluem.</w:t>
      </w:r>
    </w:p>
    <w:p>
      <w:pPr>
        <w:pStyle w:val="BodyText"/>
        <w:bidi w:val="0"/>
        <w:spacing w:before="0" w:after="120"/>
        <w:ind w:firstLine="709" w:left="0" w:right="0"/>
        <w:jc w:val="both"/>
        <w:rPr/>
      </w:pPr>
      <w:r>
        <w:rPr/>
        <w:t>O Apêndice B classifica ainda cada caso de uso como concreto ou abstrato, conforme Guedes (2018): concretos são os que o ator aciona diretamente ou que representam uma jornada completa no aplicativo; abstratos são os que só se executam por inclusão ou extensão de outro.</w:t>
      </w:r>
    </w:p>
    <w:p>
      <w:pPr>
        <w:pStyle w:val="BodyText"/>
        <w:bidi w:val="0"/>
        <w:spacing w:before="360" w:after="160"/>
        <w:ind w:hanging="0" w:left="360" w:right="360"/>
        <w:rPr>
          <w:b/>
          <w:color w:val="444444"/>
          <w:sz w:val="24"/>
        </w:rPr>
      </w:pPr>
      <w:r>
        <w:rPr>
          <w:b/>
          <w:color w:val="444444"/>
          <w:sz w:val="24"/>
        </w:rPr>
        <w:t>B.5 SEÇÃO 4.4, LEGENDA DA FIGURA</w:t>
      </w:r>
    </w:p>
    <w:p>
      <w:pPr>
        <w:pStyle w:val="BodyText"/>
        <w:bidi w:val="0"/>
        <w:spacing w:before="0" w:after="120"/>
        <w:ind w:firstLine="709" w:left="0" w:right="0"/>
        <w:jc w:val="both"/>
        <w:rPr/>
      </w:pPr>
      <w:r>
        <w:rPr/>
        <w:t>figura 8: Modelo de classes por domínio</w:t>
      </w:r>
    </w:p>
    <w:p>
      <w:pPr>
        <w:pStyle w:val="BodyText"/>
        <w:bidi w:val="0"/>
        <w:spacing w:before="0" w:after="120"/>
        <w:ind w:hanging="0" w:left="0" w:right="0"/>
        <w:jc w:val="both"/>
        <w:rPr/>
      </w:pPr>
      <w:r>
        <w:rPr/>
        <w:t>passa a</w:t>
      </w:r>
    </w:p>
    <w:p>
      <w:pPr>
        <w:pStyle w:val="BodyText"/>
        <w:bidi w:val="0"/>
        <w:spacing w:before="0" w:after="120"/>
        <w:ind w:firstLine="709" w:left="0" w:right="0"/>
        <w:jc w:val="both"/>
        <w:rPr/>
      </w:pPr>
      <w:r>
        <w:rPr/>
        <w:t>Figura 8: Modelo de classes por domínio</w:t>
      </w:r>
    </w:p>
    <w:p>
      <w:pPr>
        <w:pStyle w:val="BodyText"/>
        <w:bidi w:val="0"/>
        <w:spacing w:before="360" w:after="160"/>
        <w:ind w:hanging="0" w:left="360" w:right="360"/>
        <w:rPr>
          <w:b/>
          <w:color w:val="444444"/>
          <w:sz w:val="24"/>
        </w:rPr>
      </w:pPr>
      <w:r>
        <w:rPr>
          <w:b/>
          <w:color w:val="444444"/>
          <w:sz w:val="24"/>
        </w:rPr>
        <w:t>B.6 ESTRUTURA DO BANCO DE DADOS: JÁ APLICADA</w:t>
      </w:r>
    </w:p>
    <w:p>
      <w:pPr>
        <w:pStyle w:val="BodyText"/>
        <w:bidi w:val="0"/>
        <w:spacing w:before="0" w:after="120"/>
        <w:ind w:hanging="0" w:left="0" w:right="0"/>
        <w:jc w:val="both"/>
        <w:rPr/>
      </w:pPr>
      <w:r>
        <w:rPr/>
        <w:t xml:space="preserve">Esta seção já está na monografia, incorporada como </w:t>
      </w:r>
      <w:r>
        <w:rPr>
          <w:b/>
        </w:rPr>
        <w:t>5.6 Estrutura do banco de dados</w:t>
      </w:r>
      <w:r>
        <w:rPr/>
        <w:t>, ao fim do Capítulo 5, e não como 4.5 do Capítulo 4, que era a proposta original. A posição escolhida pelo autor é defensável e talvez melhor: o Capítulo 5 trata das tecnologias e da arquitetura, e a realização do modelo em tabelas pertence a esse assunto.</w:t>
      </w:r>
    </w:p>
    <w:p>
      <w:pPr>
        <w:pStyle w:val="BodyText"/>
        <w:bidi w:val="0"/>
        <w:spacing w:before="0" w:after="120"/>
        <w:ind w:hanging="0" w:left="0" w:right="0"/>
        <w:jc w:val="both"/>
        <w:rPr/>
      </w:pPr>
      <w:r>
        <w:rPr/>
        <w:t>O Quadro 7, com as dez tabelas, também já está colado. Nada a fazer aqui; o texto abaixo fica apenas como registro do que foi aplicado.</w:t>
      </w:r>
    </w:p>
    <w:p>
      <w:pPr>
        <w:pStyle w:val="Heading2"/>
        <w:bidi w:val="0"/>
        <w:jc w:val="left"/>
        <w:rPr/>
      </w:pPr>
      <w:r>
        <w:rPr/>
        <w:t>4.5 Estrutura do banco de dados</w:t>
      </w:r>
    </w:p>
    <w:p>
      <w:pPr>
        <w:pStyle w:val="BodyText"/>
        <w:bidi w:val="0"/>
        <w:spacing w:before="0" w:after="120"/>
        <w:ind w:firstLine="709" w:left="0" w:right="0"/>
        <w:jc w:val="both"/>
        <w:rPr/>
      </w:pPr>
      <w:r>
        <w:rPr/>
        <w:t>O modelo conceitual da seção anterior foi realizado em dez tabelas de um banco PostgreSQL. A divisão segue um princípio declarado: o banco guarda fatos e estado e garante integridade referencial, e nenhuma regra de negócio reside nele. Não há gatilhos, visões nem funções armazenadas, de modo que o cálculo de ofensiva, de saldo de moedas e de nível do avatar acontece inteiramente na camada de serviço da API, onde pode ser testado sem banco. O Quadro 7 relaciona as tabelas, sua finalidade e a entidade de que dependem.</w:t>
      </w:r>
    </w:p>
    <w:p>
      <w:pPr>
        <w:pStyle w:val="Heading5"/>
        <w:bidi w:val="0"/>
        <w:jc w:val="left"/>
        <w:rPr/>
      </w:pPr>
      <w:r>
        <w:rPr/>
        <w:t>Quadro 7: Tabelas do banco de dados do Tempo Claro</w:t>
      </w:r>
    </w:p>
    <w:tbl>
      <w:tblPr>
        <w:tblW w:w="9060" w:type="dxa"/>
        <w:jc w:val="left"/>
        <w:tblInd w:w="40" w:type="dxa"/>
        <w:tblLayout w:type="fixed"/>
        <w:tblCellMar>
          <w:top w:w="28" w:type="dxa"/>
          <w:left w:w="40" w:type="dxa"/>
          <w:bottom w:w="28" w:type="dxa"/>
          <w:right w:w="40" w:type="dxa"/>
        </w:tblCellMar>
      </w:tblPr>
      <w:tblGrid>
        <w:gridCol w:w="1821"/>
        <w:gridCol w:w="5184"/>
        <w:gridCol w:w="2055"/>
      </w:tblGrid>
      <w:tr>
        <w:trPr>
          <w:tblHeader w:val="true"/>
        </w:trPr>
        <w:tc>
          <w:tcPr>
            <w:tcW w:w="182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Tabela</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Finalidade</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Depende de</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usuarios</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Conta do usuário: nome, e-mail, senha com hash, e as preferências de idioma, fuso horário e tema que o RF10 mantém.</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Nenhuma</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codigos_verificacao</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Códigos de seis dígitos da confirmação de e-mail e da recuperação de senha, guardados com hash e com prazo de validade.</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Nenhuma, associa-se pelo e-mail</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biblioteca_textos</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Frases motivacionais do RF09, organizadas por categoria de hábito e por idioma.</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Nenhuma</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habitos</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O hábito em si: título, categoria, tipo de medida, meta, parâmetros de progressão e os dias da semana em que é cobrado.</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usuarios</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sub_atividades</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As ocorrências diárias do RF06, cada uma com sua ordem, sua parcela da meta e seu horário.</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habitos</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status_habitos</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Estado corrente do hábito: moedas, ofensiva, escudos e nível do avatar. Separado de habitos porque muda a cada execução, enquanto a configuração é estável.</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habitos</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historico_execucoes</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Registro imutável de cada execução, desistência ou apuração automática, com o valor realizado e o token que garante unicidade.</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habitos, sub_atividades</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calibracoes</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Uma sessão do questionário de calibração, com a meta que o cálculo sugeriu e se o usuário a aceitou.</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usuarios, habitos</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calibracao_respostas</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Cada resposta dada dentro de uma sessão de calibração.</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calibracoes</w:t>
            </w:r>
          </w:p>
        </w:tc>
      </w:tr>
      <w:tr>
        <w:trPr/>
        <w:tc>
          <w:tcPr>
            <w:tcW w:w="182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dispositivos_push</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Token do aparelho para notificação, previsto para o trabalho futuro da seção 9.1.</w:t>
            </w:r>
          </w:p>
        </w:tc>
        <w:tc>
          <w:tcPr>
            <w:tcW w:w="20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center"/>
              <w:rPr>
                <w:sz w:val="18"/>
              </w:rPr>
            </w:pPr>
            <w:r>
              <w:rPr>
                <w:sz w:val="18"/>
              </w:rPr>
              <w:t>usuarios</w:t>
            </w:r>
          </w:p>
        </w:tc>
      </w:tr>
    </w:tbl>
    <w:p>
      <w:pPr>
        <w:pStyle w:val="BodyText"/>
        <w:bidi w:val="0"/>
        <w:spacing w:before="60" w:after="240"/>
        <w:ind w:hanging="0" w:left="60" w:right="60"/>
        <w:rPr>
          <w:sz w:val="20"/>
        </w:rPr>
      </w:pPr>
      <w:r>
        <w:rPr>
          <w:sz w:val="20"/>
        </w:rPr>
        <w:t>Fonte: Autor</w:t>
      </w:r>
    </w:p>
    <w:p>
      <w:pPr>
        <w:pStyle w:val="BodyText"/>
        <w:bidi w:val="0"/>
        <w:spacing w:before="0" w:after="120"/>
        <w:ind w:firstLine="709" w:left="0" w:right="0"/>
        <w:jc w:val="both"/>
        <w:rPr/>
      </w:pPr>
      <w:r>
        <w:rPr/>
        <w:t>Três decisões de modelagem merecem registro. A primeira é a separação entre habitos e status_habitos: a configuração do hábito muda raramente e o seu estado muda a cada execução, de modo que mantê-los na mesma tabela faria toda alteração de estado reescrever também a configuração. A segunda é a imutabilidade de historico_execucoes, que nunca sofre atualização nem remoção: a exclusão de um hábito, prevista no RF08, marca o registro como inativo e preserva o histórico, o que é exigência da própria rastreabilidade das estatísticas do RF18 ao RF20. A terceira é o uso de identificador universal único, do tipo UUID, como chave primária de todas as tabelas, em lugar de sequência numérica, para que um identificador vazado não revele a quantidade de registros nem permita adivinhar o identificador vizinho.</w:t>
      </w:r>
    </w:p>
    <w:p>
      <w:pPr>
        <w:pStyle w:val="BodyText"/>
        <w:bidi w:val="0"/>
        <w:spacing w:before="0" w:after="120"/>
        <w:ind w:firstLine="709" w:left="0" w:right="0"/>
        <w:jc w:val="both"/>
        <w:rPr/>
      </w:pPr>
      <w:r>
        <w:rPr/>
        <w:t>A integridade é mantida por nove relacionamentos com remoção em cascata, por restrições de verificação que limitam os valores aceitos em colunas como categoria e tipo de medida, e por sete índices criados sobre as colunas usadas nas consultas de maior frequência, que são a busca dos hábitos ativos de um usuário e a leitura do histórico de execuções dentro de uma janela de datas.</w:t>
      </w:r>
    </w:p>
    <w:p>
      <w:pPr>
        <w:pStyle w:val="BodyText"/>
        <w:bidi w:val="0"/>
        <w:spacing w:before="360" w:after="160"/>
        <w:ind w:hanging="0" w:left="360" w:right="360"/>
        <w:rPr>
          <w:b/>
          <w:color w:val="444444"/>
          <w:sz w:val="24"/>
        </w:rPr>
      </w:pPr>
      <w:r>
        <w:rPr>
          <w:b/>
          <w:color w:val="444444"/>
          <w:sz w:val="24"/>
        </w:rPr>
        <w:t>B.7 ESTRUTURA DE ARQUIVOS DO PROJETO: PROPOSTA NÃO INCORPORADA</w:t>
      </w:r>
    </w:p>
    <w:p>
      <w:pPr>
        <w:pStyle w:val="BodyText"/>
        <w:bidi w:val="0"/>
        <w:spacing w:before="0" w:after="120"/>
        <w:ind w:hanging="0" w:left="0" w:right="0"/>
        <w:jc w:val="both"/>
        <w:rPr/>
      </w:pPr>
      <w:r>
        <w:rPr/>
        <w:t>Esta seção foi proposta e o autor optou por não incorporá-la. Fica aqui como proposta, caso mude de ideia; se continuar fora, a numeração de quadros da monografia permanece como está, com dezesseis, e nada precisa ser refeito.</w:t>
      </w:r>
    </w:p>
    <w:p>
      <w:pPr>
        <w:pStyle w:val="BodyText"/>
        <w:bidi w:val="0"/>
        <w:spacing w:before="0" w:after="120"/>
        <w:ind w:hanging="0" w:left="0" w:right="0"/>
        <w:jc w:val="both"/>
        <w:rPr/>
      </w:pPr>
      <w:r>
        <w:rPr/>
        <w:t>Se for incorporada, o lugar coerente passa a ser depois da 5.6, como 5.7, pela mesma razão que levou a estrutura do banco para o Capítulo 5. Nesse caso ela acrescenta um quadro e empurra em uma posição tudo o que vem a partir do Quadro 8.</w:t>
      </w:r>
    </w:p>
    <w:p>
      <w:pPr>
        <w:pStyle w:val="Heading2"/>
        <w:bidi w:val="0"/>
        <w:jc w:val="left"/>
        <w:rPr/>
      </w:pPr>
      <w:r>
        <w:rPr/>
        <w:t>5.7 Estrutura de arquivos do projeto</w:t>
      </w:r>
    </w:p>
    <w:p>
      <w:pPr>
        <w:pStyle w:val="BodyText"/>
        <w:bidi w:val="0"/>
        <w:spacing w:before="0" w:after="120"/>
        <w:ind w:firstLine="709" w:left="0" w:right="0"/>
        <w:jc w:val="both"/>
        <w:rPr/>
      </w:pPr>
      <w:r>
        <w:rPr/>
        <w:t>O repositório separa em duas pastas de primeiro nível as duas metades da aplicação, backend e frontend, e reúne em uma terceira os documentos do trabalho de conclusão. Essa divisão é a tradução em diretórios do requisito não funcional RNF08, que exige que a arquitetura separe a interface do serviço. O Quadro 8 descreve cada pasta.</w:t>
      </w:r>
    </w:p>
    <w:p>
      <w:pPr>
        <w:pStyle w:val="BodyText"/>
        <w:bidi w:val="0"/>
        <w:spacing w:before="0" w:after="120"/>
        <w:ind w:hanging="0" w:left="0" w:right="0"/>
        <w:jc w:val="both"/>
        <w:rPr/>
      </w:pPr>
      <w:r>
        <w:rPr/>
        <w:t>Quadro N: Estrutura de diretórios do projeto</w:t>
      </w:r>
    </w:p>
    <w:tbl>
      <w:tblPr>
        <w:tblW w:w="9060" w:type="dxa"/>
        <w:jc w:val="left"/>
        <w:tblInd w:w="40" w:type="dxa"/>
        <w:tblLayout w:type="fixed"/>
        <w:tblCellMar>
          <w:top w:w="28" w:type="dxa"/>
          <w:left w:w="40" w:type="dxa"/>
          <w:bottom w:w="28" w:type="dxa"/>
          <w:right w:w="40" w:type="dxa"/>
        </w:tblCellMar>
      </w:tblPr>
      <w:tblGrid>
        <w:gridCol w:w="1054"/>
        <w:gridCol w:w="8006"/>
      </w:tblGrid>
      <w:tr>
        <w:trPr>
          <w:tblHeader w:val="true"/>
        </w:trPr>
        <w:tc>
          <w:tcPr>
            <w:tcW w:w="105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Diretório</w:t>
            </w:r>
          </w:p>
        </w:tc>
        <w:tc>
          <w:tcPr>
            <w:tcW w:w="800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Conteúdo</w:t>
            </w:r>
          </w:p>
        </w:tc>
      </w:tr>
      <w:tr>
        <w:trPr/>
        <w:tc>
          <w:tcPr>
            <w:tcW w:w="105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backend/</w:t>
            </w:r>
          </w:p>
        </w:tc>
        <w:tc>
          <w:tcPr>
            <w:tcW w:w="800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Aplicação Spring Boot. Em src/main/java, nove pacotes de domínio, com 74 classes ao todo; em src/main/resources, o esquema do banco, a biblioteca de frases, o catálogo de calibração e a coleção de testes manuais; em src/test, as 144 provas automatizadas descritas no Capítulo 7.</w:t>
            </w:r>
          </w:p>
        </w:tc>
      </w:tr>
      <w:tr>
        <w:trPr/>
        <w:tc>
          <w:tcPr>
            <w:tcW w:w="105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frontend/</w:t>
            </w:r>
          </w:p>
        </w:tc>
        <w:tc>
          <w:tcPr>
            <w:tcW w:w="800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Aplicação Expo com React Native. Em app, as 18 rotas do Expo Router; em src, as 14 páginas, 10 componentes compartilhados, 7 contextos de estado global, os dois catálogos de tradução e a camada de acesso à API.</w:t>
            </w:r>
          </w:p>
        </w:tc>
      </w:tr>
      <w:tr>
        <w:trPr/>
        <w:tc>
          <w:tcPr>
            <w:tcW w:w="105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tcc/</w:t>
            </w:r>
          </w:p>
        </w:tc>
        <w:tc>
          <w:tcPr>
            <w:tcW w:w="800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Documentos do trabalho: a monografia, a planilha de casos de teste, o texto do Capítulo 7, o Apêndice B, a validação dos requisitos contra as normas ISO e os arquivos do diagrama de casos de uso.</w:t>
            </w:r>
          </w:p>
        </w:tc>
      </w:tr>
      <w:tr>
        <w:trPr/>
        <w:tc>
          <w:tcPr>
            <w:tcW w:w="105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docs/</w:t>
            </w:r>
          </w:p>
        </w:tc>
        <w:tc>
          <w:tcPr>
            <w:tcW w:w="800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Material de apoio que não entra na monografia: o esquema consolidado do banco, as imagens de origem das figuras e o guia de publicação em produção.</w:t>
            </w:r>
          </w:p>
        </w:tc>
      </w:tr>
    </w:tbl>
    <w:p>
      <w:pPr>
        <w:pStyle w:val="BodyText"/>
        <w:bidi w:val="0"/>
        <w:spacing w:before="60" w:after="240"/>
        <w:ind w:hanging="0" w:left="60" w:right="60"/>
        <w:rPr>
          <w:sz w:val="20"/>
        </w:rPr>
      </w:pPr>
      <w:r>
        <w:rPr>
          <w:sz w:val="20"/>
        </w:rPr>
        <w:t>Fonte: Autor</w:t>
      </w:r>
    </w:p>
    <w:p>
      <w:pPr>
        <w:pStyle w:val="BodyText"/>
        <w:bidi w:val="0"/>
        <w:spacing w:before="0" w:after="120"/>
        <w:ind w:firstLine="709" w:left="0" w:right="0"/>
        <w:jc w:val="both"/>
        <w:rPr/>
      </w:pPr>
      <w:r>
        <w:rPr/>
        <w:t>Dentro do backend, os nove pacotes de domínio seguem o mesmo arranjo interno, com o controlador que recebe a requisição, o serviço que concentra a regra de negócio, o repositório que fala com o banco e os objetos de transferência que definem o contrato da rota. São eles autenticacao, verificacao, usuario, habito, execucao, calibracao, biblioteca e stats, mais o pacote infra, que reúne o que atravessa todos os demais: segurança, tratamento de exceções e utilitários.</w:t>
      </w:r>
    </w:p>
    <w:p>
      <w:pPr>
        <w:pStyle w:val="BodyText"/>
        <w:bidi w:val="0"/>
        <w:spacing w:before="0" w:after="120"/>
        <w:ind w:firstLine="709" w:left="0" w:right="0"/>
        <w:jc w:val="both"/>
        <w:rPr/>
      </w:pPr>
      <w:r>
        <w:rPr/>
        <w:t>Dentro do frontend, a pasta app contém apenas as rotas, que são arquivos finos cuja única responsabilidade é apontar para a página correspondente em src/pages. Essa separação é imposição do Expo Router, que deriva a navegação da árvore de arquivos, e tem o efeito desejável de manter a lógica de tela fora da definição de rota.</w:t>
      </w:r>
    </w:p>
    <w:p>
      <w:pPr>
        <w:pStyle w:val="BodyText"/>
        <w:bidi w:val="0"/>
        <w:spacing w:before="0" w:after="120"/>
        <w:ind w:firstLine="709" w:left="0" w:right="0"/>
        <w:jc w:val="both"/>
        <w:rPr/>
      </w:pPr>
      <w:r>
        <w:rPr/>
        <w:t>A separação entre as duas metades é total: o frontend não conhece o banco de dados e o backend não conhece a interface. A comunicação acontece exclusivamente pelas vinte rotas da API, sobre HTTP, com as respostas em JSON e a sessão sustentada por um token enviado no cabeçalho de autorização.</w:t>
      </w:r>
    </w:p>
    <w:p>
      <w:pPr>
        <w:pStyle w:val="BodyText"/>
        <w:pBdr>
          <w:bottom w:val="single" w:sz="16" w:space="3" w:color="888888"/>
        </w:pBdr>
        <w:bidi w:val="0"/>
        <w:spacing w:before="560" w:after="200"/>
        <w:ind w:hanging="0" w:left="560" w:right="560"/>
        <w:rPr>
          <w:b/>
          <w:color w:val="444444"/>
          <w:sz w:val="28"/>
        </w:rPr>
      </w:pPr>
      <w:r>
        <w:rPr>
          <w:b/>
          <w:color w:val="444444"/>
          <w:sz w:val="28"/>
        </w:rPr>
        <w:t>PARTE C: CAPÍTULO 7, TESTES E VALIDAÇÃO DA APLICAÇÃO</w:t>
      </w:r>
    </w:p>
    <w:p>
      <w:pPr>
        <w:pStyle w:val="BodyText"/>
        <w:bidi w:val="0"/>
        <w:spacing w:before="0" w:after="120"/>
        <w:ind w:hanging="0" w:left="0" w:right="0"/>
        <w:jc w:val="both"/>
        <w:rPr/>
      </w:pPr>
      <w:r>
        <w:rPr/>
        <w:t>O capítulo já está colado na monografia até a seção 7.4, sem as duas tabelas e sem a seção 7.5. O texto abaixo é o capítulo inteiro, na versão que aplica duas decisões do autor.</w:t>
      </w:r>
    </w:p>
    <w:p>
      <w:pPr>
        <w:pStyle w:val="BodyText"/>
        <w:bidi w:val="0"/>
        <w:spacing w:before="0" w:after="120"/>
        <w:ind w:hanging="0" w:left="0" w:right="0"/>
        <w:jc w:val="both"/>
        <w:rPr/>
      </w:pPr>
      <w:r>
        <w:rPr/>
        <w:t>A primeira: o capítulo relata apenas a campanha efetivamente realizada, de duzentos e vinte e dois casos de teste. Os casos projetados e não executados saíram do texto, do quadro de casos representativos e da contagem do quadro de técnicas, que foi recalculado. Nenhum número depende mais deles, de modo que o capítulo é conferível linha a linha contra a planilha sem subtrações implícitas. Um módulo funcional, a execução por quantidade, não aparece no quadro de casos representativos por não ter caso executado, e por isso o quadro traz vinte e oito linhas.</w:t>
      </w:r>
    </w:p>
    <w:p>
      <w:pPr>
        <w:pStyle w:val="BodyText"/>
        <w:bidi w:val="0"/>
        <w:spacing w:before="0" w:after="120"/>
        <w:ind w:hanging="0" w:left="0" w:right="0"/>
        <w:jc w:val="both"/>
        <w:rPr/>
      </w:pPr>
      <w:r>
        <w:rPr/>
        <w:t>A segunda: a seção 7.5 relata os defeitos por severidade, sem quadro e sem nomear nenhum. O registro individual fica na aba Defeitos da planilha.</w:t>
      </w:r>
    </w:p>
    <w:p>
      <w:pPr>
        <w:pStyle w:val="BodyText"/>
        <w:bidi w:val="0"/>
        <w:spacing w:before="0" w:after="120"/>
        <w:ind w:hanging="0" w:left="0" w:right="0"/>
        <w:jc w:val="both"/>
        <w:rPr/>
      </w:pPr>
      <w:r>
        <w:rPr/>
        <w:t>Duas coisas precisam ser recoladas no que já está na monografia: o Quadro 9, das técnicas, que muda de valores, e a legenda hoje escrita como "Quadro 11: Caso de teste representativo", que passa a "Quadro 10:".</w:t>
      </w:r>
    </w:p>
    <w:p>
      <w:pPr>
        <w:pStyle w:val="BodyText"/>
        <w:bidi w:val="0"/>
        <w:spacing w:before="0" w:after="120"/>
        <w:ind w:hanging="0" w:left="0" w:right="0"/>
        <w:jc w:val="both"/>
        <w:rPr/>
      </w:pPr>
      <w:r>
        <w:rPr/>
        <w:t>Os números vêm da campanha executada em 6 de outubro de 2026 e registrada na planilha Tabela De Testes Tempo Claro Rodrigo Miranda.xlsx, na pasta tcc/.</w:t>
      </w:r>
    </w:p>
    <w:p>
      <w:pPr>
        <w:pStyle w:val="Linhahorizontal"/>
        <w:bidi w:val="0"/>
        <w:rPr/>
      </w:pPr>
      <w:r>
        <w:rPr/>
      </w:r>
    </w:p>
    <w:p>
      <w:pPr>
        <w:pStyle w:val="BodyText"/>
        <w:bidi w:val="0"/>
        <w:spacing w:before="0" w:after="120"/>
        <w:ind w:hanging="0" w:left="0" w:right="0"/>
        <w:jc w:val="both"/>
        <w:rPr/>
      </w:pPr>
      <w:r>
        <w:rPr/>
        <w:t>ANTES DE RECOLAR: CINCO PONTOS CONFERIDOS NO TEXTO JÁ APLICADO</w:t>
      </w:r>
    </w:p>
    <w:p>
      <w:pPr>
        <w:pStyle w:val="BodyText"/>
        <w:bidi w:val="0"/>
        <w:spacing w:before="0" w:after="120"/>
        <w:ind w:hanging="0" w:left="0" w:right="0"/>
        <w:jc w:val="both"/>
        <w:rPr/>
      </w:pPr>
      <w:r>
        <w:rPr/>
        <w:t>Esta conferência cruzou o Capítulo 7 que já está na monografia contra a planilha, caso a caso, e contra o diagrama de casos de uso.</w:t>
      </w:r>
    </w:p>
    <w:p>
      <w:pPr>
        <w:pStyle w:val="BodyText"/>
        <w:bidi w:val="0"/>
        <w:spacing w:before="0" w:after="120"/>
        <w:ind w:hanging="0" w:left="0" w:right="0"/>
        <w:jc w:val="both"/>
        <w:rPr/>
      </w:pPr>
      <w:r>
        <w:rPr/>
        <w:t>Primeiro, o que está certo e não precisa de nada. O Quadro 9 e o Quadro 11 conferem com a planilha célula por célula: as dez técnicas somam 256 ocorrências sobre os 222 casos executados, e a distribuição por nível fecha em 14 de unidade, 167 de integração e 41 de sistema, com 200 aprovados e 22 reprovados. Os 144 testes automatizados conferem com a aba Testes Automatizados, e os 20 defeitos com a aba Defeitos. Os 28 casos do Quadro 10 estão todos executados e cobrem 28 módulos distintos, um por módulo, sem repetição. O capítulo também não conflita com a mudança do diagrama de casos de uso: ele não cita nenhum identificador de caso de uso nem de requisito, de modo que a passagem de vinte e sete para catorze casos de uso não altera uma linha dele.</w:t>
      </w:r>
    </w:p>
    <w:p>
      <w:pPr>
        <w:pStyle w:val="BodyText"/>
        <w:bidi w:val="0"/>
        <w:spacing w:before="0" w:after="120"/>
        <w:ind w:hanging="0" w:left="0" w:right="0"/>
        <w:jc w:val="both"/>
        <w:rPr/>
      </w:pPr>
      <w:r>
        <w:rPr/>
        <w:t>Segundo, um defeito a corrigir. O parágrafo que introduz o Quadro 10 aparece duas vezes na monografia, com números diferentes. No fim da seção 7.2 está a versão correta, "A campanha realizou duzentos e vinte e dois casos de teste, distribuídos por vinte e oito módulos funcionais", colada ali por engano e sem o espaço antes de "Os casos reprovados". No início da seção 7.3 permaneceu a versão antiga, "A campanha projetou duzentos e oitenta e um casos, agrupados em vinte e nove módulos funcionais", que contradiz o Quadro 10, de vinte e oito linhas, e o Quadro 11, de duzentos e vinte e dois casos. Correção: apagar o bloco inteiro do fim da seção 7.2 e, no início da 7.3, trocar "A campanha projetou duzentos e oitenta e um casos, agrupados em vinte e nove módulos funcionais" por "A campanha realizou duzentos e vinte e dois casos de teste, distribuídos por vinte e oito módulos funcionais". O parágrafo volta a ocorrer uma única vez, no lugar em que introduz o quadro, exatamente como está escrito adiante nesta parte.</w:t>
      </w:r>
    </w:p>
    <w:p>
      <w:pPr>
        <w:pStyle w:val="BodyText"/>
        <w:bidi w:val="0"/>
        <w:spacing w:before="0" w:after="120"/>
        <w:ind w:hanging="0" w:left="0" w:right="0"/>
        <w:jc w:val="both"/>
        <w:rPr/>
      </w:pPr>
      <w:r>
        <w:rPr/>
        <w:t>Terceiro, a severidade dos defeitos. A seção 7.5 diz "classificados por severidade segundo o efeito sobre o usuário: quatro de severidade alta, treze funcionais e três de severidade baixa". O número confere com a planilha, que usa "Funcional" na coluna de severidade dos treze. O problema é de escala: alta e baixa são graus de severidade, funcional é tipo de defeito, e a banca pode apontar a mistura. A correção mais simples é passar os treze para "Média" na coluna Severidade da aba Defeitos e escrever "treze de severidade média" no texto, deixando a escala com três graus coerentes. A alternativa é manter como está e explicitar a escala em nota.</w:t>
      </w:r>
    </w:p>
    <w:p>
      <w:pPr>
        <w:pStyle w:val="BodyText"/>
        <w:bidi w:val="0"/>
        <w:spacing w:before="0" w:after="120"/>
        <w:ind w:hanging="0" w:left="0" w:right="0"/>
        <w:jc w:val="both"/>
        <w:rPr/>
      </w:pPr>
      <w:r>
        <w:rPr/>
        <w:t>Quarto, a rastreabilidade dos casos executados. Dos 222 casos, 143 registram requisito funcional e caso de uso, outros 33 registram requisito não funcional, e 46 estão sem nenhum dos três. São os casos dos módulos de usabilidade, acessibilidade, desempenho, localização, segurança e fechamento diário, em que o vínculo natural é com um requisito não funcional do Quadro 6 e apenas não foi preenchido. Nada no texto do capítulo fica falso por isso, porque o critério declarado é no sentido requisito para caso de teste, e esse se cumpre. Mas se a banca pedir a matriz nos dois sentidos, o preenchimento da coluna RNF nesses 46 é o que falta.</w:t>
      </w:r>
    </w:p>
    <w:p>
      <w:pPr>
        <w:pStyle w:val="BodyText"/>
        <w:bidi w:val="0"/>
        <w:spacing w:before="0" w:after="120"/>
        <w:ind w:hanging="0" w:left="0" w:right="0"/>
        <w:jc w:val="both"/>
        <w:rPr/>
      </w:pPr>
      <w:r>
        <w:rPr/>
        <w:t>Quinto, três citações do capítulo não têm entrada na lista de referências: ISTQB (2023) na seção 7.1, e Nielsen (1994) e W3C (2018) na seção 7.4. As três entradas estão prontas na PARTE G. Sem elas, o capítulo cita três obras que a lista não contém, que é o achado mais fácil de cobrar em uma arguição.</w:t>
      </w:r>
    </w:p>
    <w:p>
      <w:pPr>
        <w:pStyle w:val="Linhahorizontal"/>
        <w:bidi w:val="0"/>
        <w:rPr/>
      </w:pPr>
      <w:r>
        <w:rPr/>
      </w:r>
    </w:p>
    <w:p>
      <w:pPr>
        <w:pStyle w:val="Heading1"/>
        <w:bidi w:val="0"/>
        <w:jc w:val="left"/>
        <w:rPr/>
      </w:pPr>
      <w:r>
        <w:rPr/>
        <w:t>7 TESTES E VALIDAÇÃO DA APLICAÇÃO</w:t>
      </w:r>
    </w:p>
    <w:p>
      <w:pPr>
        <w:pStyle w:val="BodyText"/>
        <w:bidi w:val="0"/>
        <w:spacing w:before="0" w:after="120"/>
        <w:ind w:firstLine="709" w:left="0" w:right="0"/>
        <w:jc w:val="both"/>
        <w:rPr/>
      </w:pPr>
      <w:r>
        <w:rPr/>
        <w:t>Este capítulo descreve a estratégia de testes adotada para o Tempo Claro, as técnicas empregadas no projeto dos casos de teste e os resultados obtidos. A verificação foi tratada como atividade de projeto, e não como conferência final: os casos de teste foram derivados dos requisitos e dos casos de uso apresentados no Capítulo 4 por meio de técnicas sistemáticas, antes de qualquer execução.</w:t>
      </w:r>
    </w:p>
    <w:p>
      <w:pPr>
        <w:pStyle w:val="BodyText"/>
        <w:bidi w:val="0"/>
        <w:spacing w:before="0" w:after="120"/>
        <w:ind w:firstLine="709" w:left="0" w:right="0"/>
        <w:jc w:val="both"/>
        <w:rPr/>
      </w:pPr>
      <w:r>
        <w:rPr/>
        <w:t>Segundo Pressman (2011), um bom caso de teste é aquele que tem alta probabilidade de revelar um defeito ainda não descoberto, e Sommerville (2018) acrescenta que o teste demonstra a presença de defeitos, nunca a sua ausência. Esses dois princípios orientaram as decisões relatadas a seguir, e explicam por que os vinte defeitos localizados são apresentados aqui como resultado da campanha, e não como demérito do produto.</w:t>
      </w:r>
    </w:p>
    <w:p>
      <w:pPr>
        <w:pStyle w:val="Heading2"/>
        <w:bidi w:val="0"/>
        <w:jc w:val="left"/>
        <w:rPr/>
      </w:pPr>
      <w:r>
        <w:rPr/>
        <w:t>7.1 Estratégia de teste</w:t>
      </w:r>
    </w:p>
    <w:p>
      <w:pPr>
        <w:pStyle w:val="BodyText"/>
        <w:bidi w:val="0"/>
        <w:spacing w:before="0" w:after="120"/>
        <w:ind w:firstLine="709" w:left="0" w:right="0"/>
        <w:jc w:val="both"/>
        <w:rPr/>
      </w:pPr>
      <w:r>
        <w:rPr/>
        <w:t>A campanha foi organizada em três níveis, conforme a classificação do International Software Testing Qualifications Board (ISTQB, 2023). No nível de unidade ficaram as regras de cálculo isoladas, verificadas sem banco de dados e sem protocolo HTTP, como a repartição da meta diária entre as sub-atividades e a validação da força da senha. No nível de integração ficou a maior parte dos casos, com a aplicação inteira no ar conversando com uma instância real do PostgreSQL, o que permite exercitar o caminho completo da requisição até a restrição de integridade do banco. No nível de sistema ficaram os fluxos ponta a ponta percorridos pela interface do aplicativo.</w:t>
      </w:r>
    </w:p>
    <w:p>
      <w:pPr>
        <w:pStyle w:val="BodyText"/>
        <w:bidi w:val="0"/>
        <w:spacing w:before="0" w:after="120"/>
        <w:ind w:firstLine="709" w:left="0" w:right="0"/>
        <w:jc w:val="both"/>
        <w:rPr/>
      </w:pPr>
      <w:r>
        <w:rPr/>
        <w:t>O critério de saída determinava que todo requisito funcional vigente tivesse ao menos um caso de teste; que todo caso de uso fosse coberto no fluxo principal e em cada cenário de exceção previsto na modelagem, registrados caso a caso na planilha; que todo campo de entrada tivesse ao menos uma partição válida e uma inválida, acrescidas da análise de valor limite quando o domínio fosse ordenado; e que nenhum defeito de severidade alta ficasse sem registro.</w:t>
      </w:r>
    </w:p>
    <w:p>
      <w:pPr>
        <w:pStyle w:val="BodyText"/>
        <w:bidi w:val="0"/>
        <w:spacing w:before="0" w:after="120"/>
        <w:ind w:firstLine="709" w:left="0" w:right="0"/>
        <w:jc w:val="both"/>
        <w:rPr/>
      </w:pPr>
      <w:r>
        <w:rPr/>
        <w:t>O ambiente reproduz a arquitetura descrita no Capítulo 5 com duas substituições. O banco de dados é uma instância local do PostgreSQL, criada e descartada a cada campanha, o que garante que cada execução parta de um estado conhecido e o serviço de envio de e-mail é substituído por uma implementação de teste que expõe o último código emitido, o que permite exercitar a verificação de endereço e a recuperação de senha sem depender de entrega real de mensagem.</w:t>
      </w:r>
    </w:p>
    <w:p>
      <w:pPr>
        <w:pStyle w:val="Heading2"/>
        <w:bidi w:val="0"/>
        <w:jc w:val="left"/>
        <w:rPr/>
      </w:pPr>
      <w:r>
        <w:rPr/>
        <w:t>7.2 Técnicas aplicadas</w:t>
      </w:r>
    </w:p>
    <w:p>
      <w:pPr>
        <w:pStyle w:val="BodyText"/>
        <w:bidi w:val="0"/>
        <w:spacing w:before="0" w:after="120"/>
        <w:ind w:firstLine="709" w:left="0" w:right="0"/>
        <w:jc w:val="both"/>
        <w:rPr/>
      </w:pPr>
      <w:r>
        <w:rPr/>
        <w:t>A escolha de cada caso de teste seguiu uma técnica declarada. Essa exigência tem uma razão prática: sem técnica declarada não há como argumentar que a cobertura é suficiente, nem identificar o que ficou de fora. Campo com domínio discreto e sem ordem, como a categoria do hábito, recebeu particionamento de equivalência. Campo com domínio ordenado, como o tamanho da senha, recebeu também análise de valor limite. Regra que depende de mais de uma condição recebeu tabela de decisão, e comportamento que depende do estado anterior recebeu transição de estados. O Quadro 9 relaciona as dez técnicas aplicadas e a quantidade de casos que cada uma originou; como um mesmo caso pode combinar mais de uma técnica, a soma da última coluna é maior que o total de casos.</w:t>
      </w:r>
    </w:p>
    <w:p>
      <w:pPr>
        <w:pStyle w:val="Heading5"/>
        <w:bidi w:val="0"/>
        <w:jc w:val="left"/>
        <w:rPr/>
      </w:pPr>
      <w:r>
        <w:rPr/>
        <w:t>Quadro 9: Técnicas de teste aplicadas ao Tempo Claro</w:t>
      </w:r>
    </w:p>
    <w:tbl>
      <w:tblPr>
        <w:tblW w:w="9060" w:type="dxa"/>
        <w:jc w:val="left"/>
        <w:tblInd w:w="40" w:type="dxa"/>
        <w:tblLayout w:type="fixed"/>
        <w:tblCellMar>
          <w:top w:w="28" w:type="dxa"/>
          <w:left w:w="40" w:type="dxa"/>
          <w:bottom w:w="28" w:type="dxa"/>
          <w:right w:w="40" w:type="dxa"/>
        </w:tblCellMar>
      </w:tblPr>
      <w:tblGrid>
        <w:gridCol w:w="1287"/>
        <w:gridCol w:w="3878"/>
        <w:gridCol w:w="2708"/>
        <w:gridCol w:w="1187"/>
      </w:tblGrid>
      <w:tr>
        <w:trPr>
          <w:tblHeader w:val="true"/>
        </w:trPr>
        <w:tc>
          <w:tcPr>
            <w:tcW w:w="128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Código</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Técnica</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Categoria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Casos</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PE</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Particionamento de equivalência</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Caixa-preta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52</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AVL</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Análise de valor limite</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Caixa-preta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54</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TD</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Tabela de decisão</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Caixa-preta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29</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TE</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Transição de estados</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Caixa-preta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24</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CU</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Teste baseado em caso de uso</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Caixa-preta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26</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CR</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Cobertura de declaração e de ramificação</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Caixa-branca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2</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SE</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Suposição de erro</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Baseada em experiência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13</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EX</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Teste exploratório</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Baseada em experiência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2</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CL</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Teste baseado em checklist</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Baseada em experiência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4</w:t>
            </w:r>
          </w:p>
        </w:tc>
      </w:tr>
      <w:tr>
        <w:trPr/>
        <w:tc>
          <w:tcPr>
            <w:tcW w:w="12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w:t>
            </w:r>
          </w:p>
        </w:tc>
        <w:tc>
          <w:tcPr>
            <w:tcW w:w="38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Inspeção de código</w:t>
            </w:r>
          </w:p>
        </w:tc>
        <w:tc>
          <w:tcPr>
            <w:tcW w:w="27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Estática</w:t>
            </w:r>
          </w:p>
        </w:tc>
        <w:tc>
          <w:tcPr>
            <w:tcW w:w="118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center"/>
              <w:rPr>
                <w:sz w:val="18"/>
              </w:rPr>
            </w:pPr>
            <w:r>
              <w:rPr>
                <w:sz w:val="18"/>
              </w:rPr>
              <w:t>50</w:t>
            </w:r>
          </w:p>
        </w:tc>
      </w:tr>
    </w:tbl>
    <w:p>
      <w:pPr>
        <w:pStyle w:val="BodyText"/>
        <w:bidi w:val="0"/>
        <w:spacing w:before="60" w:after="240"/>
        <w:ind w:hanging="0" w:left="60" w:right="60"/>
        <w:rPr>
          <w:sz w:val="20"/>
        </w:rPr>
      </w:pPr>
      <w:r>
        <w:rPr>
          <w:sz w:val="20"/>
        </w:rPr>
        <w:t>Fonte: Autor</w:t>
      </w:r>
    </w:p>
    <w:p>
      <w:pPr>
        <w:pStyle w:val="BodyText"/>
        <w:bidi w:val="0"/>
        <w:spacing w:before="0" w:after="120"/>
        <w:ind w:firstLine="709" w:left="0" w:right="0"/>
        <w:jc w:val="both"/>
        <w:rPr/>
      </w:pPr>
      <w:r>
        <w:rPr/>
        <w:t>O detalhamento de cada técnica permanece na planilha de testes, que dedica uma aba a cada uma: Partições e Limites, com as vinte e seis constantes de limite lidas diretamente no código-fonte; Tabelas de Decisão, com as cinco regras combinatórias modeladas; e Transição de Estados, com as três máquinas de estado do ciclo de vida da conta, do hábito e da ocorrência diária.</w:t>
      </w:r>
    </w:p>
    <w:p>
      <w:pPr>
        <w:pStyle w:val="Heading2"/>
        <w:bidi w:val="0"/>
        <w:jc w:val="left"/>
        <w:rPr/>
      </w:pPr>
      <w:r>
        <w:rPr/>
        <w:t>7.3 Casos de teste representativos</w:t>
      </w:r>
    </w:p>
    <w:p>
      <w:pPr>
        <w:pStyle w:val="BodyText"/>
        <w:bidi w:val="0"/>
        <w:spacing w:before="0" w:after="120"/>
        <w:ind w:firstLine="709" w:left="0" w:right="0"/>
        <w:jc w:val="both"/>
        <w:rPr/>
      </w:pPr>
      <w:r>
        <w:rPr/>
        <w:t>A campanha realizou duzentos e vinte e dois casos de teste, distribuídos por vinte e oito módulos funcionais. Apresentá-los integralmente excederia o propósito deste capítulo, de modo que o Quadro 10 traz um caso por módulo, escolhido entre os de prioridade alta por ilustrar o que a técnica correspondente procura: um valor-limite, uma combinação de condições, uma transição de estado ou uma recusa esperada.</w:t>
      </w:r>
    </w:p>
    <w:p>
      <w:pPr>
        <w:pStyle w:val="BodyText"/>
        <w:bidi w:val="0"/>
        <w:spacing w:before="0" w:after="120"/>
        <w:ind w:firstLine="709" w:left="0" w:right="0"/>
        <w:jc w:val="both"/>
        <w:rPr/>
      </w:pPr>
      <w:r>
        <w:rPr/>
        <w:t>Os casos reprovados aparecem no quadro pela mesma razão que os defeitos aparecem na seção 7.5: são resultado da campanha, e omiti-los descaracterizaria a amostra.</w:t>
      </w:r>
    </w:p>
    <w:p>
      <w:pPr>
        <w:pStyle w:val="Heading5"/>
        <w:bidi w:val="0"/>
        <w:jc w:val="left"/>
        <w:rPr/>
      </w:pPr>
      <w:r>
        <w:rPr/>
        <w:t>Quadro 10: Caso de teste representativo de cada módulo funcional</w:t>
      </w:r>
    </w:p>
    <w:tbl>
      <w:tblPr>
        <w:tblW w:w="9060" w:type="dxa"/>
        <w:jc w:val="left"/>
        <w:tblInd w:w="40" w:type="dxa"/>
        <w:tblLayout w:type="fixed"/>
        <w:tblCellMar>
          <w:top w:w="28" w:type="dxa"/>
          <w:left w:w="40" w:type="dxa"/>
          <w:bottom w:w="28" w:type="dxa"/>
          <w:right w:w="40" w:type="dxa"/>
        </w:tblCellMar>
      </w:tblPr>
      <w:tblGrid>
        <w:gridCol w:w="817"/>
        <w:gridCol w:w="2032"/>
        <w:gridCol w:w="4109"/>
        <w:gridCol w:w="949"/>
        <w:gridCol w:w="1153"/>
      </w:tblGrid>
      <w:tr>
        <w:trPr>
          <w:tblHeader w:val="true"/>
        </w:trPr>
        <w:tc>
          <w:tcPr>
            <w:tcW w:w="81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Caso</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Módulo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verifica</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Técnica</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Situação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CT007</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Cadastro de conta</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Endereço de e-mail com 255 caracteres, o limite superior da coluna</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AVL</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CT028</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Verificação de e-mail</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Código correto confirma a conta e abre a sessão sem exigir nova autenticação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CU, TE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CT040</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Autenticação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Senha incorreta é recusada com mensagem genérica, sem revelar qual campo falhou</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CT050</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Recuperação de senha</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Endereço inexistente recebe a mesma resposta de um existente, sem revelar o cadastro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CT064</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Perfil</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Fuso horário inválido é recusado e o anterior permanece</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CT072</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Troca de senha</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Senha atual incorreta impede a troca e não derruba a sessão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CT083</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Encerrar sessão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Erro de senha na tela de acesso é mostrado ali mesmo, sem acionar o aviso de sessão expirada</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CT084</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Criação de hábito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Hábito criado a partir de molde recebe o tipo de medida da categoria</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PE, CU</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CT106</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Meta mínima</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Meta igual a zero é recusada na fronteira inferior do domínio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AVL</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CT117</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Progressão de meta</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Teto menor que a meta base é recusado como combinação incompatível</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TD</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CT135</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Dias e horários</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Ocorrência com horário incompleto deveria ser recusada indicando qual</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CT138</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Calibração assistida</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Respostas de menor intensidade sugerem a meta da faixa mínima da categoria</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CT151</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Edição de hábito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Alterar o número de ocorrências recria as sub-atividades e preserva o histórico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CT156</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Exclusão de hábito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Hábito excluído deveria recusar execução, edição e compra por chamada direta</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 SE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CT158</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Início da tarefa</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 frase motivacional vem da categoria do hábito e no idioma do perfil</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CU, TD</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CT171</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Execução por tempo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Queda de rede ao concluir deveria informar o erro e manter a execução ativa</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CT180</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Gamificação do registro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Realizado em 120% do alvo credita 150 moedas e sinaliza bônus</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TD, AVL</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CT194</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Desistência e escudo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Desistência sem escudo disponível é recusada e nada é alterado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TD</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CT201</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Loja de escudos</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Saldo abaixo de 400 moedas recusa a compra e preserva o saldo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AVL</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CT208</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Estatísticas</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Os três maiores valores de um único dia são devolvidos com as respectivas datas</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CU</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CT222</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Notificações locais</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O manifesto deveria declarar a permissão de notificação exigida desde o Android 13</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CT225</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Fechamento diário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Meta cumprida avança a ofensiva sem creditar moeda em duplicidade</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TD, TE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CT245</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Segurança e integridade</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Rota protegida sem token deveria responder 401, conforme a convenção HTTP</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CT257</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Usabilidade</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 tela de falha usa linguagem que não culpa nem pune, e convida ao retorno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CL</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CT264</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Acessibilidade</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Cada controle deveria declarar papel de acessibilidade, além do rótulo</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CL, IE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CT270</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Desempenho e confiabilidade</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O painel executa número fixo de consultas, independente da quantidade de hábitos</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CR</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CT274</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Localização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Falha de rede deveria exibir mensagem traduzida, e não o nome técnico da chave</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Reprovado</w:t>
            </w:r>
          </w:p>
        </w:tc>
      </w:tr>
      <w:tr>
        <w:trPr/>
        <w:tc>
          <w:tcPr>
            <w:tcW w:w="8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CT280</w:t>
            </w:r>
          </w:p>
        </w:tc>
        <w:tc>
          <w:tcPr>
            <w:tcW w:w="20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Arquitetura e navegação</w:t>
            </w:r>
          </w:p>
        </w:tc>
        <w:tc>
          <w:tcPr>
            <w:tcW w:w="410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Front-end e back-end são projetos separados, com dependências próprias</w:t>
            </w:r>
          </w:p>
        </w:tc>
        <w:tc>
          <w:tcPr>
            <w:tcW w:w="9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IE</w:t>
            </w:r>
          </w:p>
        </w:tc>
        <w:tc>
          <w:tcPr>
            <w:tcW w:w="115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center"/>
              <w:rPr>
                <w:sz w:val="18"/>
              </w:rPr>
            </w:pPr>
            <w:r>
              <w:rPr>
                <w:sz w:val="18"/>
              </w:rPr>
              <w:t>Aprovado</w:t>
            </w:r>
          </w:p>
        </w:tc>
      </w:tr>
    </w:tbl>
    <w:p>
      <w:pPr>
        <w:pStyle w:val="BodyText"/>
        <w:bidi w:val="0"/>
        <w:spacing w:before="60" w:after="240"/>
        <w:ind w:hanging="0" w:left="60" w:right="60"/>
        <w:rPr>
          <w:sz w:val="20"/>
        </w:rPr>
      </w:pPr>
      <w:r>
        <w:rPr>
          <w:sz w:val="20"/>
        </w:rPr>
        <w:t>Fonte: Autor</w:t>
      </w:r>
    </w:p>
    <w:p>
      <w:pPr>
        <w:pStyle w:val="Heading2"/>
        <w:bidi w:val="0"/>
        <w:jc w:val="left"/>
        <w:rPr/>
      </w:pPr>
      <w:r>
        <w:rPr/>
        <w:t>7.4 Resultados obtidos</w:t>
      </w:r>
    </w:p>
    <w:p>
      <w:pPr>
        <w:pStyle w:val="BodyText"/>
        <w:bidi w:val="0"/>
        <w:spacing w:before="0" w:after="120"/>
        <w:ind w:firstLine="709" w:left="0" w:right="0"/>
        <w:jc w:val="both"/>
        <w:rPr/>
      </w:pPr>
      <w:r>
        <w:rPr/>
        <w:t>Foram realizados duzentos e vinte e dois testes, o Quadro 11 apresenta a distribuição por nível de teste e o resultado de cada grupo.</w:t>
      </w:r>
    </w:p>
    <w:p>
      <w:pPr>
        <w:pStyle w:val="Heading5"/>
        <w:bidi w:val="0"/>
        <w:jc w:val="left"/>
        <w:rPr/>
      </w:pPr>
      <w:r>
        <w:rPr/>
        <w:t>Quadro 11: Resultado da execução dos casos de teste por nível</w:t>
      </w:r>
    </w:p>
    <w:tbl>
      <w:tblPr>
        <w:tblW w:w="9060" w:type="dxa"/>
        <w:jc w:val="left"/>
        <w:tblInd w:w="40" w:type="dxa"/>
        <w:tblLayout w:type="fixed"/>
        <w:tblCellMar>
          <w:top w:w="28" w:type="dxa"/>
          <w:left w:w="40" w:type="dxa"/>
          <w:bottom w:w="28" w:type="dxa"/>
          <w:right w:w="40" w:type="dxa"/>
        </w:tblCellMar>
      </w:tblPr>
      <w:tblGrid>
        <w:gridCol w:w="2425"/>
        <w:gridCol w:w="2717"/>
        <w:gridCol w:w="1877"/>
        <w:gridCol w:w="2041"/>
      </w:tblGrid>
      <w:tr>
        <w:trPr>
          <w:tblHeader w:val="true"/>
        </w:trPr>
        <w:tc>
          <w:tcPr>
            <w:tcW w:w="242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Nível de teste</w:t>
            </w:r>
          </w:p>
        </w:tc>
        <w:tc>
          <w:tcPr>
            <w:tcW w:w="271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Testes realizados</w:t>
            </w:r>
          </w:p>
        </w:tc>
        <w:tc>
          <w:tcPr>
            <w:tcW w:w="187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Aprovados</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Reprovados</w:t>
            </w:r>
          </w:p>
        </w:tc>
      </w:tr>
      <w:tr>
        <w:trPr/>
        <w:tc>
          <w:tcPr>
            <w:tcW w:w="242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Unidade</w:t>
            </w:r>
          </w:p>
        </w:tc>
        <w:tc>
          <w:tcPr>
            <w:tcW w:w="2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14</w:t>
            </w:r>
          </w:p>
        </w:tc>
        <w:tc>
          <w:tcPr>
            <w:tcW w:w="18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14</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0</w:t>
            </w:r>
          </w:p>
        </w:tc>
      </w:tr>
      <w:tr>
        <w:trPr/>
        <w:tc>
          <w:tcPr>
            <w:tcW w:w="242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Integração</w:t>
            </w:r>
          </w:p>
        </w:tc>
        <w:tc>
          <w:tcPr>
            <w:tcW w:w="2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167</w:t>
            </w:r>
          </w:p>
        </w:tc>
        <w:tc>
          <w:tcPr>
            <w:tcW w:w="18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154</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13</w:t>
            </w:r>
          </w:p>
        </w:tc>
      </w:tr>
      <w:tr>
        <w:trPr/>
        <w:tc>
          <w:tcPr>
            <w:tcW w:w="242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Sistema</w:t>
            </w:r>
          </w:p>
        </w:tc>
        <w:tc>
          <w:tcPr>
            <w:tcW w:w="2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41</w:t>
            </w:r>
          </w:p>
        </w:tc>
        <w:tc>
          <w:tcPr>
            <w:tcW w:w="18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32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9</w:t>
            </w:r>
          </w:p>
        </w:tc>
      </w:tr>
      <w:tr>
        <w:trPr/>
        <w:tc>
          <w:tcPr>
            <w:tcW w:w="242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Total</w:t>
            </w:r>
          </w:p>
        </w:tc>
        <w:tc>
          <w:tcPr>
            <w:tcW w:w="2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222</w:t>
            </w:r>
          </w:p>
        </w:tc>
        <w:tc>
          <w:tcPr>
            <w:tcW w:w="18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200</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center"/>
              <w:rPr>
                <w:sz w:val="18"/>
              </w:rPr>
            </w:pPr>
            <w:r>
              <w:rPr>
                <w:sz w:val="18"/>
              </w:rPr>
              <w:t>22</w:t>
            </w:r>
          </w:p>
        </w:tc>
      </w:tr>
    </w:tbl>
    <w:p>
      <w:pPr>
        <w:pStyle w:val="BodyText"/>
        <w:bidi w:val="0"/>
        <w:spacing w:before="60" w:after="240"/>
        <w:ind w:hanging="0" w:left="60" w:right="60"/>
        <w:rPr>
          <w:sz w:val="20"/>
        </w:rPr>
      </w:pPr>
      <w:r>
        <w:rPr>
          <w:sz w:val="20"/>
        </w:rPr>
        <w:t>Fonte: Autor</w:t>
      </w:r>
    </w:p>
    <w:p>
      <w:pPr>
        <w:pStyle w:val="BodyText"/>
        <w:bidi w:val="0"/>
        <w:spacing w:before="0" w:after="120"/>
        <w:ind w:firstLine="709" w:left="0" w:right="0"/>
        <w:jc w:val="both"/>
        <w:rPr/>
      </w:pPr>
      <w:r>
        <w:rPr/>
        <w:t>A verificação da API concentrou o maior esforço, por duas razões: toda a lógica de negócio reside no servidor, de modo que é ali que os requisitos efetivamente se realizam, e a API admite execução automatizada e repetível. Foram executados cento e quarenta e quatro testes automatizados, escritos com JUnit e executados pelo Maven sobre uma instância local do PostgreSQL, e cada caso da planilha verificado por esse meio registra, na coluna de evidência, a classe e o método correspondentes, o que torna a campanha reexecutável por terceiros.</w:t>
      </w:r>
    </w:p>
    <w:p>
      <w:pPr>
        <w:pStyle w:val="BodyText"/>
        <w:bidi w:val="0"/>
        <w:spacing w:before="0" w:after="120"/>
        <w:ind w:firstLine="709" w:left="0" w:right="0"/>
        <w:jc w:val="both"/>
        <w:rPr/>
      </w:pPr>
      <w:r>
        <w:rPr/>
        <w:t>A validação da interface seguiu o teste baseado em checklist, com duas listas complementares: as dez heurísticas de Nielsen (1994), aplicadas aos pontos em que o desenho assume compromisso explícito com o público-alvo, como o foco isolado de um hábito por tela e a linguagem não punitiva da tela de falha; e as recomendações de nível AA das diretrizes WCAG 2.1 (W3C, 2018), com atenção aos critérios de nome acessível, de contraste e de tamanho do alvo de toque.</w:t>
      </w:r>
    </w:p>
    <w:p>
      <w:pPr>
        <w:pStyle w:val="Heading2"/>
        <w:bidi w:val="0"/>
        <w:jc w:val="left"/>
        <w:rPr/>
      </w:pPr>
      <w:r>
        <w:rPr/>
        <w:t>7.5 Defeitos encontrados</w:t>
      </w:r>
    </w:p>
    <w:p>
      <w:pPr>
        <w:pStyle w:val="BodyText"/>
        <w:bidi w:val="0"/>
        <w:spacing w:before="0" w:after="120"/>
        <w:ind w:firstLine="709" w:left="0" w:right="0"/>
        <w:jc w:val="both"/>
        <w:rPr/>
      </w:pPr>
      <w:r>
        <w:rPr/>
        <w:t>A campanha catalogou vinte defeitos, classificados por severidade segundo o efeito sobre o usuário: quatro de severidade alta, treze funcionais e três de severidade baixa. Cada um está registrado na planilha de testes, na aba Defeitos, com o requisito afetado, o caso de teste que o revela, a evidência em arquivo e linha do código-fonte e a descrição do efeito observado.</w:t>
      </w:r>
    </w:p>
    <w:p>
      <w:pPr>
        <w:pStyle w:val="BodyText"/>
        <w:bidi w:val="0"/>
        <w:spacing w:before="0" w:after="120"/>
        <w:ind w:firstLine="709" w:left="0" w:right="0"/>
        <w:jc w:val="both"/>
        <w:rPr/>
      </w:pPr>
      <w:r>
        <w:rPr/>
        <w:t>Nenhum deles foi corrigido durante a campanha, por decisão metodológica: corrigir durante a execução invalidaria o registro do resultado obtido, que é o produto desta etapa. A correção dos defeitos de severidade alta é o primeiro item do trabalho de manutenção que sucede esta monografia.</w:t>
      </w:r>
    </w:p>
    <w:p>
      <w:pPr>
        <w:pStyle w:val="BodyText"/>
        <w:bidi w:val="0"/>
        <w:spacing w:before="0" w:after="120"/>
        <w:ind w:firstLine="709" w:left="0" w:right="0"/>
        <w:jc w:val="both"/>
        <w:rPr/>
      </w:pPr>
      <w:r>
        <w:rPr/>
        <w:t>Encerrada a verificação do que o sistema faz, o capítulo seguinte trata de um aspecto do processo de desenvolvimento que percorreu todas as etapas aqui relatadas, da especificação à redação deste texto: o uso de ferramentas de inteligência artificial generativa, as finalidades a que serviram e os limites observados.</w:t>
      </w:r>
    </w:p>
    <w:p>
      <w:pPr>
        <w:pStyle w:val="BodyText"/>
        <w:pBdr>
          <w:bottom w:val="single" w:sz="16" w:space="3" w:color="888888"/>
        </w:pBdr>
        <w:bidi w:val="0"/>
        <w:spacing w:before="560" w:after="200"/>
        <w:ind w:hanging="0" w:left="560" w:right="560"/>
        <w:rPr>
          <w:b/>
          <w:color w:val="444444"/>
          <w:sz w:val="28"/>
        </w:rPr>
      </w:pPr>
      <w:r>
        <w:rPr>
          <w:b/>
          <w:color w:val="444444"/>
          <w:sz w:val="28"/>
        </w:rPr>
        <w:t>PARTE D: CAPÍTULO 5, A FIGURA 9</w:t>
      </w:r>
    </w:p>
    <w:p>
      <w:pPr>
        <w:pStyle w:val="BodyText"/>
        <w:bidi w:val="0"/>
        <w:spacing w:before="0" w:after="120"/>
        <w:ind w:hanging="0" w:left="0" w:right="0"/>
        <w:jc w:val="both"/>
        <w:rPr/>
      </w:pPr>
      <w:r>
        <w:rPr/>
        <w:t xml:space="preserve">A Figura 9 foi refeita como mapeamento visual das tecnologias, com os logos de cada uma. O arquivo é </w:t>
      </w:r>
      <w:r>
        <w:rPr>
          <w:b/>
        </w:rPr>
        <w:t>tcc/figura-09-tecnologias.png</w:t>
      </w:r>
      <w:r>
        <w:rPr/>
        <w:t>, com 160 por 118 mm a 300 pontos por polegada, que é a mancha da monografia e a mesma medida das demais figuras.</w:t>
      </w:r>
    </w:p>
    <w:p>
      <w:pPr>
        <w:pStyle w:val="BodyText"/>
        <w:bidi w:val="0"/>
        <w:spacing w:before="0" w:after="120"/>
        <w:ind w:hanging="0" w:left="0" w:right="0"/>
        <w:jc w:val="both"/>
        <w:rPr/>
      </w:pPr>
      <w:r>
        <w:rPr/>
        <w:t>A legenda muda, porque a figura passou a cobrir duas coisas:</w:t>
      </w:r>
    </w:p>
    <w:tbl>
      <w:tblPr>
        <w:tblW w:w="9060" w:type="dxa"/>
        <w:jc w:val="left"/>
        <w:tblInd w:w="40" w:type="dxa"/>
        <w:tblLayout w:type="fixed"/>
        <w:tblCellMar>
          <w:top w:w="28" w:type="dxa"/>
          <w:left w:w="40" w:type="dxa"/>
          <w:bottom w:w="28" w:type="dxa"/>
          <w:right w:w="40" w:type="dxa"/>
        </w:tblCellMar>
      </w:tblPr>
      <w:tblGrid>
        <w:gridCol w:w="4049"/>
        <w:gridCol w:w="5011"/>
      </w:tblGrid>
      <w:tr>
        <w:trPr>
          <w:tblHeader w:val="true"/>
        </w:trPr>
        <w:tc>
          <w:tcPr>
            <w:tcW w:w="4049"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está hoje</w:t>
            </w:r>
          </w:p>
        </w:tc>
        <w:tc>
          <w:tcPr>
            <w:tcW w:w="501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passa a ser</w:t>
            </w:r>
          </w:p>
        </w:tc>
      </w:tr>
      <w:tr>
        <w:trPr/>
        <w:tc>
          <w:tcPr>
            <w:tcW w:w="404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Figura 9: Arquitetura da plataforma</w:t>
            </w:r>
          </w:p>
        </w:tc>
        <w:tc>
          <w:tcPr>
            <w:tcW w:w="501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Figura 9: Arquitetura e tecnologias da plataforma</w:t>
            </w:r>
          </w:p>
        </w:tc>
      </w:tr>
    </w:tbl>
    <w:p>
      <w:pPr>
        <w:pStyle w:val="BodyText"/>
        <w:bidi w:val="0"/>
        <w:spacing w:before="0" w:after="120"/>
        <w:ind w:hanging="0" w:left="0" w:right="0"/>
        <w:jc w:val="both"/>
        <w:rPr/>
      </w:pPr>
      <w:r>
        <w:rPr>
          <w:b/>
        </w:rPr>
        <w:t>A troca corrige um erro.</w:t>
      </w:r>
      <w:r>
        <w:rPr/>
        <w:t xml:space="preserve"> A figura atual rotula como SMTP a seta que liga a API ao serviço de e-mail, enquanto o parágrafo imediatamente acima dela diz o contrário: "a escolha por uma API HTTP, em vez do protocolo SMTP tradicional, deve-se ao plano gratuito do Render bloquear as portas de SMTP". Na figura nova a seta diz API HTTP.</w:t>
      </w:r>
    </w:p>
    <w:p>
      <w:pPr>
        <w:pStyle w:val="BodyText"/>
        <w:bidi w:val="0"/>
        <w:spacing w:before="0" w:after="120"/>
        <w:ind w:hanging="0" w:left="0" w:right="0"/>
        <w:jc w:val="both"/>
        <w:rPr/>
      </w:pPr>
      <w:r>
        <w:rPr/>
        <w:t>A figura ganhou também uma faixa inferior com as ferramentas de apoio da seção 5.5, de modo que ela agora ilustra as duas seções. Por isso convém que a 5.5 remeta a ela. Acrescentar ao fim do parágrafo da seção 5.5:</w:t>
      </w:r>
    </w:p>
    <w:p>
      <w:pPr>
        <w:pStyle w:val="BodyText"/>
        <w:bidi w:val="0"/>
        <w:spacing w:before="0" w:after="120"/>
        <w:ind w:firstLine="709" w:left="0" w:right="0"/>
        <w:jc w:val="both"/>
        <w:rPr/>
      </w:pPr>
      <w:r>
        <w:rPr/>
        <w:t>As ferramentas de apoio aparecem reunidas na faixa inferior da Figura 9.</w:t>
      </w:r>
    </w:p>
    <w:p>
      <w:pPr>
        <w:pStyle w:val="BodyText"/>
        <w:bidi w:val="0"/>
        <w:spacing w:before="0" w:after="120"/>
        <w:ind w:hanging="0" w:left="709" w:right="0"/>
        <w:jc w:val="both"/>
        <w:rPr>
          <w:sz w:val="22"/>
        </w:rPr>
      </w:pPr>
      <w:r>
        <w:rPr>
          <w:sz w:val="22"/>
        </w:rPr>
        <w:t>Sobre os logos: todos vêm de acervos abertos, o Devicon, sob licença MIT, e o Simple Icons, sob CC0, em formato vetorial e sem fundo. A procedência de cada um está registrada em tcc/logos/PROCEDENCIA.md. Nenhum foi desenhado para o trabalho. O Astah Professional, citado na seção 5.5, não tem logo em acervo aberto e por isso não aparece na faixa, continuando apenas nomeado no texto.</w:t>
      </w:r>
    </w:p>
    <w:p>
      <w:pPr>
        <w:pStyle w:val="BodyText"/>
        <w:bidi w:val="0"/>
        <w:spacing w:before="0" w:after="120"/>
        <w:ind w:hanging="0" w:left="709" w:right="0"/>
        <w:jc w:val="both"/>
        <w:rPr>
          <w:sz w:val="22"/>
        </w:rPr>
      </w:pPr>
      <w:r>
        <w:rPr>
          <w:sz w:val="22"/>
        </w:rPr>
        <w:t>A figura é reproduzível: tcc/gerar-figura-09-tecnologias.py monta o SVG a partir dos logos baixados, e o PNG sai com rsvg-convert a 300 pontos por polegada. Se uma tecnologia entrar ou sair, basta editar a lista no alto do script.</w:t>
      </w:r>
    </w:p>
    <w:p>
      <w:pPr>
        <w:pStyle w:val="BodyText"/>
        <w:pBdr>
          <w:bottom w:val="single" w:sz="16" w:space="3" w:color="888888"/>
        </w:pBdr>
        <w:bidi w:val="0"/>
        <w:spacing w:before="560" w:after="200"/>
        <w:ind w:hanging="0" w:left="560" w:right="560"/>
        <w:rPr>
          <w:b/>
          <w:color w:val="444444"/>
          <w:sz w:val="28"/>
        </w:rPr>
      </w:pPr>
      <w:r>
        <w:rPr>
          <w:b/>
          <w:color w:val="444444"/>
          <w:sz w:val="28"/>
        </w:rPr>
        <w:t>PARTE E: CAPÍTULO 8, NUMERAÇÃO DOS QUADROS</w:t>
      </w:r>
    </w:p>
    <w:p>
      <w:pPr>
        <w:pStyle w:val="BodyText"/>
        <w:bidi w:val="0"/>
        <w:spacing w:before="0" w:after="120"/>
        <w:ind w:hanging="0" w:left="0" w:right="0"/>
        <w:jc w:val="both"/>
        <w:rPr/>
      </w:pPr>
      <w:r>
        <w:rPr/>
        <w:t xml:space="preserve">Os dois quadros do Capítulo 8 estão hoje na monografia </w:t>
      </w:r>
      <w:r>
        <w:rPr>
          <w:b/>
        </w:rPr>
        <w:t>sem número</w:t>
      </w:r>
      <w:r>
        <w:rPr/>
        <w:t>: as legendas dizem apenas "Quadro :". Com o Capítulo 7 ocupando os Quadros 9, 10 e 11, eles recebem 12 e 13.</w:t>
      </w:r>
    </w:p>
    <w:tbl>
      <w:tblPr>
        <w:tblW w:w="9060" w:type="dxa"/>
        <w:jc w:val="left"/>
        <w:tblInd w:w="40" w:type="dxa"/>
        <w:tblLayout w:type="fixed"/>
        <w:tblCellMar>
          <w:top w:w="28" w:type="dxa"/>
          <w:left w:w="40" w:type="dxa"/>
          <w:bottom w:w="28" w:type="dxa"/>
          <w:right w:w="40" w:type="dxa"/>
        </w:tblCellMar>
      </w:tblPr>
      <w:tblGrid>
        <w:gridCol w:w="1910"/>
        <w:gridCol w:w="3516"/>
        <w:gridCol w:w="3634"/>
      </w:tblGrid>
      <w:tr>
        <w:trPr>
          <w:tblHeader w:val="true"/>
        </w:trPr>
        <w:tc>
          <w:tcPr>
            <w:tcW w:w="1910"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Onde</w:t>
            </w:r>
          </w:p>
        </w:tc>
        <w:tc>
          <w:tcPr>
            <w:tcW w:w="351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está hoje</w:t>
            </w:r>
          </w:p>
        </w:tc>
        <w:tc>
          <w:tcPr>
            <w:tcW w:w="363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O que passa a ser</w:t>
            </w:r>
          </w:p>
        </w:tc>
      </w:tr>
      <w:tr>
        <w:trPr/>
        <w:tc>
          <w:tcPr>
            <w:tcW w:w="191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Legenda na seção 8.2</w:t>
            </w:r>
          </w:p>
        </w:tc>
        <w:tc>
          <w:tcPr>
            <w:tcW w:w="35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Quadro : Ferramentas de IA utilizadas no desenvolvimento</w:t>
            </w:r>
          </w:p>
        </w:tc>
        <w:tc>
          <w:tcPr>
            <w:tcW w:w="363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Quadro 12: Ferramentas de IA utilizadas no desenvolvimento</w:t>
            </w:r>
          </w:p>
        </w:tc>
      </w:tr>
      <w:tr>
        <w:trPr/>
        <w:tc>
          <w:tcPr>
            <w:tcW w:w="191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Legenda na seção 8.3</w:t>
            </w:r>
          </w:p>
        </w:tc>
        <w:tc>
          <w:tcPr>
            <w:tcW w:w="35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Quadro : Prompts utilizados</w:t>
            </w:r>
          </w:p>
        </w:tc>
        <w:tc>
          <w:tcPr>
            <w:tcW w:w="363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Quadro 13: Prompts utilizados</w:t>
            </w:r>
          </w:p>
        </w:tc>
      </w:tr>
    </w:tbl>
    <w:p>
      <w:pPr>
        <w:pStyle w:val="BodyText"/>
        <w:bidi w:val="0"/>
        <w:spacing w:before="0" w:after="120"/>
        <w:ind w:hanging="0" w:left="709" w:right="0"/>
        <w:jc w:val="both"/>
        <w:rPr>
          <w:sz w:val="22"/>
        </w:rPr>
      </w:pPr>
      <w:r>
        <w:rPr>
          <w:sz w:val="22"/>
        </w:rPr>
        <w:t>As duas legendas precisam receber o estilo Título 5, como as demais, para entrarem na Lista de Quadros.</w:t>
      </w:r>
    </w:p>
    <w:p>
      <w:pPr>
        <w:pStyle w:val="BodyText"/>
        <w:pBdr>
          <w:bottom w:val="single" w:sz="16" w:space="3" w:color="888888"/>
        </w:pBdr>
        <w:bidi w:val="0"/>
        <w:spacing w:before="560" w:after="200"/>
        <w:ind w:hanging="0" w:left="560" w:right="560"/>
        <w:rPr>
          <w:b/>
          <w:color w:val="444444"/>
          <w:sz w:val="28"/>
        </w:rPr>
      </w:pPr>
      <w:r>
        <w:rPr>
          <w:b/>
          <w:color w:val="444444"/>
          <w:sz w:val="28"/>
        </w:rPr>
        <w:t>PARTE F: CORREÇÕES NO CORPO DOS CAPÍTULOS 2, 9 E 10</w:t>
      </w:r>
    </w:p>
    <w:p>
      <w:pPr>
        <w:pStyle w:val="BodyText"/>
        <w:bidi w:val="0"/>
        <w:spacing w:before="0" w:after="120"/>
        <w:ind w:hanging="0" w:left="0" w:right="0"/>
        <w:jc w:val="both"/>
        <w:rPr/>
      </w:pPr>
      <w:r>
        <w:rPr/>
        <w:t>Cinco pontos do corpo, nenhum decorrente das mudanças deste documento. Quatro são citações de requisito que apontam para o identificador errado, resíduo da revisão que redefiniu os requisitos funcionais em torno das funcionalidades. O quinto é de outra natureza: duas obras constam da lista de referências e não são citadas em lugar nenhum.</w:t>
      </w:r>
    </w:p>
    <w:p>
      <w:pPr>
        <w:pStyle w:val="BodyText"/>
        <w:bidi w:val="0"/>
        <w:spacing w:before="0" w:after="120"/>
        <w:ind w:hanging="0" w:left="0" w:right="0"/>
        <w:jc w:val="both"/>
        <w:rPr/>
      </w:pPr>
      <w:r>
        <w:rPr/>
        <w:t>Entram aqui porque este documento se apresenta como a lista completa do que muda na monografia. A primeira subseção, sobre a remissão ao quadro da paleta, já se resolveu sozinha e fica registrada apenas para fechar o histórico.</w:t>
      </w:r>
    </w:p>
    <w:p>
      <w:pPr>
        <w:pStyle w:val="BodyText"/>
        <w:bidi w:val="0"/>
        <w:spacing w:before="360" w:after="160"/>
        <w:ind w:hanging="0" w:left="360" w:right="360"/>
        <w:rPr>
          <w:b/>
          <w:color w:val="444444"/>
          <w:sz w:val="24"/>
        </w:rPr>
      </w:pPr>
      <w:r>
        <w:rPr>
          <w:b/>
          <w:color w:val="444444"/>
          <w:sz w:val="24"/>
        </w:rPr>
        <w:t>F.1 SEÇÃO 6.1, A REMISSÃO AO QUADRO DA PALETA: RESOLVIDA</w:t>
      </w:r>
    </w:p>
    <w:p>
      <w:pPr>
        <w:pStyle w:val="BodyText"/>
        <w:bidi w:val="0"/>
        <w:spacing w:before="0" w:after="120"/>
        <w:ind w:hanging="0" w:left="0" w:right="0"/>
        <w:jc w:val="both"/>
        <w:rPr/>
      </w:pPr>
      <w:r>
        <w:rPr/>
        <w:t>O parágrafo da seção 6.1 dizia "O Quadro 8" enquanto a legenda abaixo dele era "Quadro 7". Com a entrada da seção 5.6, a paleta passou a ser de fato o Quadro 8, e os dois passaram a concordar. Nada a fazer.</w:t>
      </w:r>
    </w:p>
    <w:p>
      <w:pPr>
        <w:pStyle w:val="BodyText"/>
        <w:bidi w:val="0"/>
        <w:spacing w:before="360" w:after="160"/>
        <w:ind w:hanging="0" w:left="360" w:right="360"/>
        <w:rPr>
          <w:b/>
          <w:color w:val="444444"/>
          <w:sz w:val="24"/>
        </w:rPr>
      </w:pPr>
      <w:r>
        <w:rPr>
          <w:b/>
          <w:color w:val="444444"/>
          <w:sz w:val="24"/>
        </w:rPr>
        <w:t>F.2 SEÇÃO 9.1, NOTIFICAÇÕES PUSH</w:t>
      </w:r>
    </w:p>
    <w:p>
      <w:pPr>
        <w:pStyle w:val="BodyText"/>
        <w:bidi w:val="0"/>
        <w:spacing w:before="0" w:after="120"/>
        <w:ind w:hanging="0" w:left="0" w:right="0"/>
        <w:jc w:val="both"/>
        <w:rPr/>
      </w:pPr>
      <w:r>
        <w:rPr/>
        <w:t>A primeira frase atribui a notificação push ao RF18, que hoje é o desempenho dos últimos trinta dias. A notificação push não tem requisito próprio: está entre as capacidades que a definição dos requisitos deixou sem cobertura, registradas na parte 3 de validacao-requisitos-iso.md.</w:t>
      </w:r>
    </w:p>
    <w:p>
      <w:pPr>
        <w:pStyle w:val="BodyText"/>
        <w:bidi w:val="0"/>
        <w:spacing w:before="0" w:after="120"/>
        <w:ind w:firstLine="709" w:left="0" w:right="0"/>
        <w:jc w:val="both"/>
        <w:rPr/>
      </w:pPr>
      <w:r>
        <w:rPr/>
        <w:t>O requisito RF18 prevê o envio de notificações push nos horários agendados de cada hábito.</w:t>
      </w:r>
    </w:p>
    <w:p>
      <w:pPr>
        <w:pStyle w:val="BodyText"/>
        <w:bidi w:val="0"/>
        <w:spacing w:before="0" w:after="120"/>
        <w:ind w:hanging="0" w:left="0" w:right="0"/>
        <w:jc w:val="both"/>
        <w:rPr/>
      </w:pPr>
      <w:r>
        <w:rPr/>
        <w:t>passa a</w:t>
      </w:r>
    </w:p>
    <w:p>
      <w:pPr>
        <w:pStyle w:val="BodyText"/>
        <w:bidi w:val="0"/>
        <w:spacing w:before="0" w:after="120"/>
        <w:ind w:firstLine="709" w:left="0" w:right="0"/>
        <w:jc w:val="both"/>
        <w:rPr/>
      </w:pPr>
      <w:r>
        <w:rPr/>
        <w:t>O envio de notificações push nos horários agendados de cada hábito foi previsto desde a concepção, embora não tenha recebido requisito funcional próprio.</w:t>
      </w:r>
    </w:p>
    <w:p>
      <w:pPr>
        <w:pStyle w:val="BodyText"/>
        <w:bidi w:val="0"/>
        <w:spacing w:before="0" w:after="120"/>
        <w:ind w:hanging="0" w:left="709" w:right="0"/>
        <w:jc w:val="both"/>
        <w:rPr>
          <w:sz w:val="22"/>
        </w:rPr>
      </w:pPr>
      <w:r>
        <w:rPr>
          <w:sz w:val="22"/>
        </w:rPr>
        <w:t>O restante do parágrafo, que trata das notificações locais já implementadas e da integração pendente com um serviço de mensageria, permanece como está.</w:t>
      </w:r>
    </w:p>
    <w:p>
      <w:pPr>
        <w:pStyle w:val="BodyText"/>
        <w:bidi w:val="0"/>
        <w:spacing w:before="360" w:after="160"/>
        <w:ind w:hanging="0" w:left="360" w:right="360"/>
        <w:rPr>
          <w:b/>
          <w:color w:val="444444"/>
          <w:sz w:val="24"/>
        </w:rPr>
      </w:pPr>
      <w:r>
        <w:rPr>
          <w:b/>
          <w:color w:val="444444"/>
          <w:sz w:val="24"/>
        </w:rPr>
        <w:t>F.3 SEÇÃO 9.2, WIDGET NA TELA INICIAL</w:t>
      </w:r>
    </w:p>
    <w:p>
      <w:pPr>
        <w:pStyle w:val="BodyText"/>
        <w:bidi w:val="0"/>
        <w:spacing w:before="0" w:after="120"/>
        <w:ind w:hanging="0" w:left="0" w:right="0"/>
        <w:jc w:val="both"/>
        <w:rPr/>
      </w:pPr>
      <w:r>
        <w:rPr/>
        <w:t>A frase cita dois identificadores, e ambos mudaram de significado. RF19 hoje é "Três maiores recordes". RNF14 foi eliminado na revisão pela ISO/IEC 25010, mas o widget continua citado no enunciado do atual RNF11, que trata de tolerância a falhas e menciona expressamente o trabalho futuro.</w:t>
      </w:r>
    </w:p>
    <w:p>
      <w:pPr>
        <w:pStyle w:val="BodyText"/>
        <w:bidi w:val="0"/>
        <w:spacing w:before="0" w:after="120"/>
        <w:ind w:firstLine="709" w:left="0" w:right="0"/>
        <w:jc w:val="both"/>
        <w:rPr/>
      </w:pPr>
      <w:r>
        <w:rPr/>
        <w:t>Os requisitos RF19 e RNF14 preveem um widget para a tela inicial do dispositivo, exibindo o progresso do dia e a ofensiva atual sem exigir que o usuário abra o aplicativo.</w:t>
      </w:r>
    </w:p>
    <w:p>
      <w:pPr>
        <w:pStyle w:val="BodyText"/>
        <w:bidi w:val="0"/>
        <w:spacing w:before="0" w:after="120"/>
        <w:ind w:hanging="0" w:left="0" w:right="0"/>
        <w:jc w:val="both"/>
        <w:rPr/>
      </w:pPr>
      <w:r>
        <w:rPr/>
        <w:t>passa a</w:t>
      </w:r>
    </w:p>
    <w:p>
      <w:pPr>
        <w:pStyle w:val="BodyText"/>
        <w:bidi w:val="0"/>
        <w:spacing w:before="0" w:after="120"/>
        <w:ind w:firstLine="709" w:left="0" w:right="0"/>
        <w:jc w:val="both"/>
        <w:rPr/>
      </w:pPr>
      <w:r>
        <w:rPr/>
        <w:t>O widget para a tela inicial do dispositivo, que exibiria o progresso do dia e a ofensiva atual sem exigir que o usuário abra o aplicativo, aparece como trabalho futuro no enunciado do RNF11.</w:t>
      </w:r>
    </w:p>
    <w:p>
      <w:pPr>
        <w:pStyle w:val="BodyText"/>
        <w:bidi w:val="0"/>
        <w:spacing w:before="0" w:after="120"/>
        <w:ind w:hanging="0" w:left="709" w:right="0"/>
        <w:jc w:val="both"/>
        <w:rPr>
          <w:sz w:val="22"/>
        </w:rPr>
      </w:pPr>
      <w:r>
        <w:rPr>
          <w:sz w:val="22"/>
        </w:rPr>
        <w:t>O restante do parágrafo, sobre a dependência de código nativo e o valor da funcionalidade para o público com TDAH, permanece como está.</w:t>
      </w:r>
    </w:p>
    <w:p>
      <w:pPr>
        <w:pStyle w:val="BodyText"/>
        <w:bidi w:val="0"/>
        <w:spacing w:before="360" w:after="160"/>
        <w:ind w:hanging="0" w:left="360" w:right="360"/>
        <w:rPr>
          <w:b/>
          <w:color w:val="444444"/>
          <w:sz w:val="24"/>
        </w:rPr>
      </w:pPr>
      <w:r>
        <w:rPr>
          <w:b/>
          <w:color w:val="444444"/>
          <w:sz w:val="24"/>
        </w:rPr>
        <w:t>F.4 SEÇÃO 10.1, O MODELO DE CRÉDITO DE MOEDAS</w:t>
      </w:r>
    </w:p>
    <w:p>
      <w:pPr>
        <w:pStyle w:val="BodyText"/>
        <w:bidi w:val="0"/>
        <w:spacing w:before="0" w:after="120"/>
        <w:ind w:hanging="0" w:left="0" w:right="0"/>
        <w:jc w:val="both"/>
        <w:rPr/>
      </w:pPr>
      <w:r>
        <w:rPr/>
        <w:t>Duas citações no mesmo parágrafo. A primeira atribui o modelo de crédito a RF11 e RF12, que são a execução por tempo e a execução por quantidade: a execução é deles, o crédito de moedas não tem requisito. A segunda atribui o token de idempotência a RF21, que hoje é a página de acompanhamento; o bloqueio de execução duplicada por token é o RNF07.</w:t>
      </w:r>
    </w:p>
    <w:p>
      <w:pPr>
        <w:pStyle w:val="BodyText"/>
        <w:bidi w:val="0"/>
        <w:spacing w:before="0" w:after="120"/>
        <w:ind w:firstLine="709" w:left="0" w:right="0"/>
        <w:jc w:val="both"/>
        <w:rPr/>
      </w:pPr>
      <w:r>
        <w:rPr/>
        <w:t>A solução foi vincular o crédito ao total acumulado do dia: a cada execução concluída, o servidor verifica qual patamar da meta o total diário atingiu (100%, 120% ou 150%) e credita apenas a diferença em relação ao que já havia sido creditado (RF11 e RF12). A isso somaram-se o token de idempotência, que impede que uma execução seja contabilizada duas vezes (RF21), e a rotina de fechamento executada de hora em hora, que apura os dias encerrados.</w:t>
      </w:r>
    </w:p>
    <w:p>
      <w:pPr>
        <w:pStyle w:val="BodyText"/>
        <w:bidi w:val="0"/>
        <w:spacing w:before="0" w:after="120"/>
        <w:ind w:hanging="0" w:left="0" w:right="0"/>
        <w:jc w:val="both"/>
        <w:rPr/>
      </w:pPr>
      <w:r>
        <w:rPr/>
        <w:t>passa a</w:t>
      </w:r>
    </w:p>
    <w:p>
      <w:pPr>
        <w:pStyle w:val="BodyText"/>
        <w:bidi w:val="0"/>
        <w:spacing w:before="0" w:after="120"/>
        <w:ind w:firstLine="709" w:left="0" w:right="0"/>
        <w:jc w:val="both"/>
        <w:rPr/>
      </w:pPr>
      <w:r>
        <w:rPr/>
        <w:t>A solução foi vincular o crédito ao total acumulado do dia: a cada execução concluída, registrada conforme RF11 ou RF12, o servidor verifica qual patamar da meta o total diário atingiu (100%, 120% ou 150%) e credita apenas a diferença em relação ao que já havia sido creditado. A isso somaram-se o token de idempotência, que impede que uma execução seja contabilizada duas vezes e atende ao RNF07, e a rotina de fechamento executada de hora em hora, que apura os dias encerrados.</w:t>
      </w:r>
    </w:p>
    <w:p>
      <w:pPr>
        <w:pStyle w:val="BodyText"/>
        <w:bidi w:val="0"/>
        <w:spacing w:before="0" w:after="120"/>
        <w:ind w:hanging="0" w:left="709" w:right="0"/>
        <w:jc w:val="both"/>
        <w:rPr>
          <w:sz w:val="22"/>
        </w:rPr>
      </w:pPr>
      <w:r>
        <w:rPr>
          <w:sz w:val="22"/>
        </w:rPr>
        <w:t>O restante do parágrafo, sobre a reestruturação da camada de serviço e do modelo de dados, permanece como está.</w:t>
      </w:r>
    </w:p>
    <w:p>
      <w:pPr>
        <w:pStyle w:val="BodyText"/>
        <w:bidi w:val="0"/>
        <w:spacing w:before="360" w:after="160"/>
        <w:ind w:hanging="0" w:left="360" w:right="360"/>
        <w:rPr>
          <w:b/>
          <w:color w:val="444444"/>
          <w:sz w:val="24"/>
        </w:rPr>
      </w:pPr>
      <w:r>
        <w:rPr>
          <w:b/>
          <w:color w:val="444444"/>
          <w:sz w:val="24"/>
        </w:rPr>
        <w:t>F.5 SEÇÃO 2.2, UMA DEFINIÇÃO SEM FONTE E TRÊS REFERÊNCIAS ÓRFÃS</w:t>
      </w:r>
    </w:p>
    <w:p>
      <w:pPr>
        <w:pStyle w:val="BodyText"/>
        <w:bidi w:val="0"/>
        <w:spacing w:before="0" w:after="120"/>
        <w:ind w:hanging="0" w:left="0" w:right="0"/>
        <w:jc w:val="both"/>
        <w:rPr/>
      </w:pPr>
      <w:r>
        <w:rPr/>
        <w:t>Achado desta revisão. Três obras constam da lista de referências sem citação no corpo. Duas não aparecem em lugar nenhum, CHOU e DETERDING. A terceira, CAPACITOR, é mencionada pelo nome nos capítulos 9 e 10, ao relatar que a primeira versão do aplicativo era empacotada com ela, mas sem a citação entre parênteses. A ABNT pede que toda referência listada tenha sido citada, de modo que as três precisam ganhar citação ou sair da lista.</w:t>
      </w:r>
    </w:p>
    <w:p>
      <w:pPr>
        <w:pStyle w:val="BodyText"/>
        <w:bidi w:val="0"/>
        <w:spacing w:before="0" w:after="120"/>
        <w:ind w:hanging="0" w:left="0" w:right="0"/>
        <w:jc w:val="both"/>
        <w:rPr/>
      </w:pPr>
      <w:r>
        <w:rPr/>
        <w:t>O caso de DETERDING resolve-se sozinho e com ganho, porque a frase que abre a seção 2.2 é a definição dele, reproduzida quase ao pé da letra e hoje sem fonte:</w:t>
      </w:r>
    </w:p>
    <w:p>
      <w:pPr>
        <w:pStyle w:val="BodyText"/>
        <w:bidi w:val="0"/>
        <w:spacing w:before="0" w:after="120"/>
        <w:ind w:firstLine="709" w:left="0" w:right="0"/>
        <w:jc w:val="both"/>
        <w:rPr/>
      </w:pPr>
      <w:r>
        <w:rPr/>
        <w:t>Gamificação pode ser definida como o uso de elementos de design de jogos em contextos que não são jogos, com o objetivo de aumentar o engajamento, a motivação e a participação dos usuários.</w:t>
      </w:r>
    </w:p>
    <w:p>
      <w:pPr>
        <w:pStyle w:val="BodyText"/>
        <w:bidi w:val="0"/>
        <w:spacing w:before="0" w:after="120"/>
        <w:ind w:hanging="0" w:left="0" w:right="0"/>
        <w:jc w:val="both"/>
        <w:rPr/>
      </w:pPr>
      <w:r>
        <w:rPr/>
        <w:t>passa a</w:t>
      </w:r>
    </w:p>
    <w:p>
      <w:pPr>
        <w:pStyle w:val="BodyText"/>
        <w:bidi w:val="0"/>
        <w:spacing w:before="0" w:after="120"/>
        <w:ind w:firstLine="709" w:left="0" w:right="0"/>
        <w:jc w:val="both"/>
        <w:rPr/>
      </w:pPr>
      <w:r>
        <w:rPr/>
        <w:t>Gamificação pode ser definida como o uso de elementos de design de jogos em contextos que não são jogos (DETERDING et al., 2011), com o objetivo de aumentar o engajamento, a motivação e a participação dos usuários.</w:t>
      </w:r>
    </w:p>
    <w:p>
      <w:pPr>
        <w:pStyle w:val="BodyText"/>
        <w:bidi w:val="0"/>
        <w:spacing w:before="0" w:after="120"/>
        <w:ind w:hanging="0" w:left="709" w:right="0"/>
        <w:jc w:val="both"/>
        <w:rPr>
          <w:sz w:val="22"/>
        </w:rPr>
      </w:pPr>
      <w:r>
        <w:rPr>
          <w:sz w:val="22"/>
        </w:rPr>
        <w:t>Resolve a referência órfã e a definição sem fonte de uma vez.</w:t>
      </w:r>
    </w:p>
    <w:p>
      <w:pPr>
        <w:pStyle w:val="BodyText"/>
        <w:bidi w:val="0"/>
        <w:spacing w:before="0" w:after="120"/>
        <w:ind w:hanging="0" w:left="0" w:right="0"/>
        <w:jc w:val="both"/>
        <w:rPr/>
      </w:pPr>
      <w:r>
        <w:rPr/>
        <w:t>Para CHOU, cuja obra trata do desenho de sistemas de gamificação orientados a motivação, o lugar natural é o parágrafo da mesma seção que descreve os elementos de jogo empregados. Se preferir não acrescentar a citação, a alternativa é retirar a entrada da lista de referências: o que não pode é permanecer listada sem aparecer no texto.</w:t>
      </w:r>
    </w:p>
    <w:p>
      <w:pPr>
        <w:pStyle w:val="BodyText"/>
        <w:bidi w:val="0"/>
        <w:spacing w:before="0" w:after="120"/>
        <w:ind w:hanging="0" w:left="0" w:right="0"/>
        <w:jc w:val="both"/>
        <w:rPr/>
      </w:pPr>
      <w:r>
        <w:rPr/>
        <w:t>Para CAPACITOR a correção é de uma palavra, porque a menção já existe. No capítulo 10, na frase "a primeira versão do aplicativo era uma aplicação React empacotada para Android com Capacitor", basta escrever "com Capacitor (CAPACITOR, 2026)". Fica no mesmo padrão das demais referências de tecnologia, que o corpo cita como (META, 2026), (SPRING, 2026) e (POSTGRESQL GLOBAL DEVELOPMENT GROUP, 2026).</w:t>
      </w:r>
    </w:p>
    <w:p>
      <w:pPr>
        <w:pStyle w:val="BodyText"/>
        <w:pBdr>
          <w:bottom w:val="single" w:sz="16" w:space="3" w:color="888888"/>
        </w:pBdr>
        <w:bidi w:val="0"/>
        <w:spacing w:before="560" w:after="200"/>
        <w:ind w:hanging="0" w:left="560" w:right="560"/>
        <w:rPr>
          <w:b/>
          <w:color w:val="444444"/>
          <w:sz w:val="28"/>
        </w:rPr>
      </w:pPr>
      <w:r>
        <w:rPr>
          <w:b/>
          <w:color w:val="444444"/>
          <w:sz w:val="28"/>
        </w:rPr>
        <w:t>PARTE G: REFERÊNCIAS</w:t>
      </w:r>
    </w:p>
    <w:p>
      <w:pPr>
        <w:pStyle w:val="BodyText"/>
        <w:bidi w:val="0"/>
        <w:spacing w:before="0" w:after="120"/>
        <w:ind w:hanging="0" w:left="0" w:right="0"/>
        <w:jc w:val="both"/>
        <w:rPr/>
      </w:pPr>
      <w:r>
        <w:rPr/>
        <w:t>Quatro entradas novas. Todas são citadas no corpo e nenhuma consta hoje da lista, que é o erro que a banca cobra com mais facilidade.</w:t>
      </w:r>
    </w:p>
    <w:p>
      <w:pPr>
        <w:pStyle w:val="BodyText"/>
        <w:bidi w:val="0"/>
        <w:spacing w:before="0" w:after="120"/>
        <w:ind w:hanging="0" w:left="0" w:right="0"/>
        <w:jc w:val="both"/>
        <w:rPr/>
      </w:pPr>
      <w:r>
        <w:rPr/>
        <w:t xml:space="preserve">A ISO/IEC/IEEE 29148, que constava de uma versão anterior desta parte, </w:t>
      </w:r>
      <w:r>
        <w:rPr>
          <w:b/>
        </w:rPr>
        <w:t>saiu</w:t>
      </w:r>
      <w:r>
        <w:rPr/>
        <w:t>: o texto da seção 4.2 que você aplicou cita apenas a ISO/IEC 25010, de modo que acrescentar a 29148 criaria uma referência sem citação, que é o problema oposto e igualmente cobrado. Ver F.5.</w:t>
      </w:r>
    </w:p>
    <w:p>
      <w:pPr>
        <w:pStyle w:val="BodyText"/>
        <w:bidi w:val="0"/>
        <w:spacing w:before="0" w:after="120"/>
        <w:ind w:hanging="0" w:left="0" w:right="0"/>
        <w:jc w:val="both"/>
        <w:rPr/>
      </w:pPr>
      <w:r>
        <w:rPr/>
        <w:t>Inserir em ordem alfabética, entre as entradas já existentes. A posição de cada uma está indicada.</w:t>
      </w:r>
    </w:p>
    <w:p>
      <w:pPr>
        <w:pStyle w:val="BodyText"/>
        <w:bidi w:val="0"/>
        <w:spacing w:before="0" w:after="120"/>
        <w:ind w:hanging="0" w:left="0" w:right="0"/>
        <w:jc w:val="both"/>
        <w:rPr/>
      </w:pPr>
      <w:r>
        <w:rPr/>
        <w:t>Depois de HABITRPG e antes de MARCONI:</w:t>
      </w:r>
    </w:p>
    <w:p>
      <w:pPr>
        <w:pStyle w:val="BodyText"/>
        <w:bidi w:val="0"/>
        <w:spacing w:before="0" w:after="120"/>
        <w:ind w:firstLine="709" w:left="0" w:right="0"/>
        <w:jc w:val="both"/>
        <w:rPr/>
      </w:pPr>
      <w:r>
        <w:rPr/>
        <w:t>INTERNATIONAL ORGANIZATION FOR STANDARDIZATION. ISO/IEC 25010: systems and software engineering: systems and software Quality Requirements and Evaluation (SQuaRE): system and software quality models. Genebra: ISO, 2011.</w:t>
      </w:r>
    </w:p>
    <w:p>
      <w:pPr>
        <w:pStyle w:val="BodyText"/>
        <w:bidi w:val="0"/>
        <w:spacing w:before="0" w:after="120"/>
        <w:ind w:firstLine="709" w:left="0" w:right="0"/>
        <w:jc w:val="both"/>
        <w:rPr/>
      </w:pPr>
      <w:r>
        <w:rPr/>
        <w:t>INTERNATIONAL SOFTWARE TESTING QUALIFICATIONS BOARD. Certified Tester Foundation Level Syllabus: version 4.0. Bruxelas: ISTQB, 2023. Disponível em: https://www.istqb.org. Acesso em: 6 out. 2026.</w:t>
      </w:r>
    </w:p>
    <w:p>
      <w:pPr>
        <w:pStyle w:val="BodyText"/>
        <w:bidi w:val="0"/>
        <w:spacing w:before="0" w:after="120"/>
        <w:ind w:hanging="0" w:left="0" w:right="0"/>
        <w:jc w:val="both"/>
        <w:rPr/>
      </w:pPr>
      <w:r>
        <w:rPr/>
        <w:t>Depois de META e antes de POSTGRESQL GLOBAL DEVELOPMENT GROUP:</w:t>
      </w:r>
    </w:p>
    <w:p>
      <w:pPr>
        <w:pStyle w:val="BodyText"/>
        <w:bidi w:val="0"/>
        <w:spacing w:before="0" w:after="120"/>
        <w:ind w:firstLine="709" w:left="0" w:right="0"/>
        <w:jc w:val="both"/>
        <w:rPr/>
      </w:pPr>
      <w:r>
        <w:rPr/>
        <w:t>NIELSEN, Jakob. Enhancing the explanatory power of usability heuristics. In: CONFERENCE ON HUMAN FACTORS IN COMPUTING SYSTEMS, 1994, Boston. Proceedings [...]. New York: ACM, 1994. p. 152-158.</w:t>
      </w:r>
    </w:p>
    <w:p>
      <w:pPr>
        <w:pStyle w:val="BodyText"/>
        <w:bidi w:val="0"/>
        <w:spacing w:before="0" w:after="120"/>
        <w:ind w:hanging="0" w:left="0" w:right="0"/>
        <w:jc w:val="both"/>
        <w:rPr/>
      </w:pPr>
      <w:r>
        <w:rPr/>
        <w:t>Depois de SPRING e antes de ZICHERMANN, que é a última entrada da lista:</w:t>
      </w:r>
    </w:p>
    <w:p>
      <w:pPr>
        <w:pStyle w:val="BodyText"/>
        <w:bidi w:val="0"/>
        <w:spacing w:before="0" w:after="120"/>
        <w:ind w:firstLine="709" w:left="0" w:right="0"/>
        <w:jc w:val="both"/>
        <w:rPr/>
      </w:pPr>
      <w:r>
        <w:rPr/>
        <w:t>WORLD WIDE WEB CONSORTIUM. Web Content Accessibility Guidelines (WCAG) 2.1. W3C Recommendation, 2018. Disponível em: https://www.w3.org/TR/WCAG21/. Acesso em: 6 out. 2026.</w:t>
      </w:r>
    </w:p>
    <w:p>
      <w:pPr>
        <w:pStyle w:val="BodyText"/>
        <w:bidi w:val="0"/>
        <w:spacing w:before="0" w:after="120"/>
        <w:ind w:hanging="0" w:left="709" w:right="0"/>
        <w:jc w:val="both"/>
        <w:rPr>
          <w:sz w:val="22"/>
        </w:rPr>
      </w:pPr>
      <w:r>
        <w:rPr>
          <w:sz w:val="22"/>
        </w:rPr>
        <w:t>Onde cada uma é citada, conferido no documento: (ISO, 2011) na seção 4.2; (ISTQB, 2023) na seção 7.1; (NIELSEN, 1994) e (W3C, 2018) na seção 7.4.</w:t>
      </w:r>
    </w:p>
    <w:p>
      <w:pPr>
        <w:pStyle w:val="BodyText"/>
        <w:bidi w:val="0"/>
        <w:spacing w:before="0" w:after="120"/>
        <w:ind w:hanging="0" w:left="709" w:right="0"/>
        <w:jc w:val="both"/>
        <w:rPr>
          <w:sz w:val="22"/>
        </w:rPr>
      </w:pPr>
      <w:r>
        <w:rPr>
          <w:sz w:val="22"/>
        </w:rPr>
        <w:t>As demais obras citadas, Pressman (2011) e Sommerville (2018) no Capítulo 7 e Guedes (2018) na seção 4.3 e no Apêndice B, já constam da lista.</w:t>
      </w:r>
    </w:p>
    <w:p>
      <w:pPr>
        <w:pStyle w:val="BodyText"/>
        <w:pBdr>
          <w:bottom w:val="single" w:sz="16" w:space="3" w:color="888888"/>
        </w:pBdr>
        <w:bidi w:val="0"/>
        <w:spacing w:before="560" w:after="200"/>
        <w:ind w:hanging="0" w:left="560" w:right="560"/>
        <w:rPr>
          <w:b/>
          <w:color w:val="444444"/>
          <w:sz w:val="28"/>
        </w:rPr>
      </w:pPr>
      <w:r>
        <w:rPr>
          <w:b/>
          <w:color w:val="444444"/>
          <w:sz w:val="28"/>
        </w:rPr>
        <w:t>PARTE H: APÊNDICE B, DOCUMENTAÇÃO DOS CASOS DE USO</w:t>
      </w:r>
    </w:p>
    <w:p>
      <w:pPr>
        <w:pStyle w:val="BodyText"/>
        <w:bidi w:val="0"/>
        <w:spacing w:before="0" w:after="120"/>
        <w:ind w:hanging="0" w:left="0" w:right="0"/>
        <w:jc w:val="both"/>
        <w:rPr/>
      </w:pPr>
      <w:r>
        <w:rPr/>
        <w:t>O apêndice tem hoje apenas o título. O texto abaixo é o conteúdo inteiro, refeito sobre o diagrama vigente, de catorze casos de uso, e na estrutura de documentação expandida que Guedes (2018) prescreve: ator principal, requisito funcional, objetivo, pré-condições, fluxo principal numerado, fluxos alternativos, fluxos de exceção, pós-condições e requisitos não funcionais atendidos.</w:t>
      </w:r>
    </w:p>
    <w:p>
      <w:pPr>
        <w:pStyle w:val="BodyText"/>
        <w:bidi w:val="0"/>
        <w:spacing w:before="0" w:after="120"/>
        <w:ind w:hanging="0" w:left="0" w:right="0"/>
        <w:jc w:val="both"/>
        <w:rPr/>
      </w:pPr>
      <w:r>
        <w:rPr/>
        <w:t>São dezesseis quadros, do 14 ao 29: o do ator, a síntese dos catorze e um por caso de uso. Cerca de 5,6 páginas.</w:t>
      </w:r>
    </w:p>
    <w:p>
      <w:pPr>
        <w:pStyle w:val="BodyText"/>
        <w:bidi w:val="0"/>
        <w:spacing w:before="0" w:after="120"/>
        <w:ind w:hanging="0" w:left="0" w:right="0"/>
        <w:jc w:val="both"/>
        <w:rPr/>
      </w:pPr>
      <w:r>
        <w:rPr/>
        <w:t>Dois casos de uso reúnem mais de um requisito, por corresponderem a uma mesma sequência de ações na interface e na API: UC09, Evoluir tarefa, reúne RF11, RF12, RF15 e RF16; e UC13, Consultar estatísticas do hábito, reúne RF17 a RF21. Os vinte e um requisitos funcionais ficam integralmente cobertos pelos catorze casos de uso.</w:t>
      </w:r>
    </w:p>
    <w:p>
      <w:pPr>
        <w:pStyle w:val="Linhahorizontal"/>
        <w:bidi w:val="0"/>
        <w:rPr/>
      </w:pPr>
      <w:r>
        <w:rPr/>
      </w:r>
    </w:p>
    <w:p>
      <w:pPr>
        <w:pStyle w:val="BodyText"/>
        <w:bidi w:val="0"/>
        <w:spacing w:before="0" w:after="120"/>
        <w:ind w:firstLine="709" w:left="0" w:right="0"/>
        <w:jc w:val="both"/>
        <w:rPr/>
      </w:pPr>
      <w:r>
        <w:rPr/>
        <w:t>Este apêndice documenta o diagrama de casos de uso apresentado na Figura 7, seguindo a estrutura de documentação expandida proposta por Guedes (2018), na qual cada caso de uso é descrito por seu ator principal, seu objetivo, suas pré-condições, o fluxo principal de eventos, os fluxos alternativos, os fluxos de exceção e as pós-condições resultantes. Cada descrição relaciona ainda o requisito funcional que realiza, conforme a seção 4.1, e os requisitos não funcionais a que atende, conforme o Quadro 6.</w:t>
      </w:r>
    </w:p>
    <w:p>
      <w:pPr>
        <w:pStyle w:val="BodyText"/>
        <w:bidi w:val="0"/>
        <w:spacing w:before="0" w:after="120"/>
        <w:ind w:firstLine="709" w:left="0" w:right="0"/>
        <w:jc w:val="both"/>
        <w:rPr/>
      </w:pPr>
      <w:r>
        <w:rPr/>
        <w:t>O sistema tem um único ator, descrito no Quadro 14. O Quadro 15 sintetiza os catorze casos de uso, com a classificação, os relacionamentos e o requisito funcional correspondente.</w:t>
      </w:r>
    </w:p>
    <w:p>
      <w:pPr>
        <w:pStyle w:val="BodyText"/>
        <w:bidi w:val="0"/>
        <w:spacing w:before="0" w:after="120"/>
        <w:ind w:firstLine="709" w:left="0" w:right="0"/>
        <w:jc w:val="both"/>
        <w:rPr/>
      </w:pPr>
      <w:r>
        <w:rPr/>
        <w:t>A relação entre requisito e caso de uso não é de um para um. Doze casos de uso realizam um requisito cada, e dois reúnem mais de um, por corresponderem, na interface e na API, a uma mesma sequência de ações do usuário: UC09 reúne RF11, RF12, RF15 e RF16, que descrevem a execução da tarefa do início ao registro do valor realizado, e UC13 reúne RF17 a RF21, que descrevem os indicadores apresentados em uma única tela de acompanhamento. Os vinte e um requisitos funcionais ficam, assim, integralmente cobertos.</w:t>
      </w:r>
    </w:p>
    <w:p>
      <w:pPr>
        <w:pStyle w:val="Heading5"/>
        <w:bidi w:val="0"/>
        <w:jc w:val="left"/>
        <w:rPr/>
      </w:pPr>
      <w:r>
        <w:rPr/>
        <w:t>Quadro 14: Ator do sistema</w:t>
      </w:r>
    </w:p>
    <w:tbl>
      <w:tblPr>
        <w:tblW w:w="9060" w:type="dxa"/>
        <w:jc w:val="left"/>
        <w:tblInd w:w="40" w:type="dxa"/>
        <w:tblLayout w:type="fixed"/>
        <w:tblCellMar>
          <w:top w:w="28" w:type="dxa"/>
          <w:left w:w="40" w:type="dxa"/>
          <w:bottom w:w="28" w:type="dxa"/>
          <w:right w:w="40" w:type="dxa"/>
        </w:tblCellMar>
      </w:tblPr>
      <w:tblGrid>
        <w:gridCol w:w="873"/>
        <w:gridCol w:w="932"/>
        <w:gridCol w:w="7255"/>
      </w:tblGrid>
      <w:tr>
        <w:trPr>
          <w:tblHeader w:val="true"/>
        </w:trPr>
        <w:tc>
          <w:tcPr>
            <w:tcW w:w="873"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Ator</w:t>
            </w:r>
          </w:p>
        </w:tc>
        <w:tc>
          <w:tcPr>
            <w:tcW w:w="932"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Tipo</w:t>
            </w:r>
          </w:p>
        </w:tc>
        <w:tc>
          <w:tcPr>
            <w:tcW w:w="725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87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Usuário</w:t>
            </w:r>
          </w:p>
        </w:tc>
        <w:tc>
          <w:tcPr>
            <w:tcW w:w="9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Primário</w:t>
            </w:r>
          </w:p>
        </w:tc>
        <w:tc>
          <w:tcPr>
            <w:tcW w:w="725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Pessoa que utiliza o aplicativo para construir e acompanhar hábitos. Antes de autenticar alcança apenas a criação de conta e a autenticação; a partir da sessão aberta alcança a configuração de hábitos, a execução das tarefas e o acompanhamento do desempenho.</w:t>
            </w:r>
          </w:p>
        </w:tc>
      </w:tr>
    </w:tbl>
    <w:p>
      <w:pPr>
        <w:pStyle w:val="BodyText"/>
        <w:bidi w:val="0"/>
        <w:spacing w:before="60" w:after="240"/>
        <w:ind w:hanging="0" w:left="60" w:right="60"/>
        <w:rPr>
          <w:sz w:val="20"/>
        </w:rPr>
      </w:pPr>
      <w:r>
        <w:rPr>
          <w:sz w:val="20"/>
        </w:rPr>
        <w:t>Fonte: Autor</w:t>
      </w:r>
    </w:p>
    <w:p>
      <w:pPr>
        <w:pStyle w:val="Heading5"/>
        <w:bidi w:val="0"/>
        <w:jc w:val="left"/>
        <w:rPr/>
      </w:pPr>
      <w:r>
        <w:rPr/>
        <w:t>Quadro 15: Síntese dos casos de uso</w:t>
      </w:r>
    </w:p>
    <w:tbl>
      <w:tblPr>
        <w:tblW w:w="9060" w:type="dxa"/>
        <w:jc w:val="left"/>
        <w:tblInd w:w="40" w:type="dxa"/>
        <w:tblLayout w:type="fixed"/>
        <w:tblCellMar>
          <w:top w:w="28" w:type="dxa"/>
          <w:left w:w="40" w:type="dxa"/>
          <w:bottom w:w="28" w:type="dxa"/>
          <w:right w:w="40" w:type="dxa"/>
        </w:tblCellMar>
      </w:tblPr>
      <w:tblGrid>
        <w:gridCol w:w="1097"/>
        <w:gridCol w:w="2078"/>
        <w:gridCol w:w="1269"/>
        <w:gridCol w:w="2700"/>
        <w:gridCol w:w="1916"/>
      </w:tblGrid>
      <w:tr>
        <w:trPr>
          <w:tblHeader w:val="true"/>
        </w:trPr>
        <w:tc>
          <w:tcPr>
            <w:tcW w:w="109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Caso de uso</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Nome</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Classificação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Relacionamentos</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RF</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UC01</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Autenticar usuário</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Concreto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Estendido por UC09, UC13 e UC14</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RF01</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UC02</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Criar conta</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Concreto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Nenhum</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RF02</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UC03</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Criar hábito a partir de molde</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Concreto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Inclui UC04</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RF03</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UC04</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Definir meta mínima</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Abstrato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Inclui UC05; estende UC08; incluído por UC03</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RF04</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UC05</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Definir progressão da meta</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Abstrato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Inclui UC06; incluído por UC04</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RF05</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UC06</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Dividir a meta em sub-atividades</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Abstrato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Inclui UC07; incluído por UC05</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RF06</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UC07</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Definir dias e horários</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Abstrato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Incluído por UC06</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RF07</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UC08</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Manter hábito</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Concreto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Estendido por UC04</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RF08</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UC09</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Evoluir tarefa</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Concreto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Inclui UC10; estende UC01</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RF11, RF12, RF15 e RF16</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UC10</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Exibir frase motivacional</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Abstrato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Inclui UC12; incluído por UC09; estendido por UC11</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RF09</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UC11</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Desistir da tarefa</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Abstrato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Estende UC10; inclui UC12</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RF13</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UC12</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Exibir resultado da tarefa</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Abstrato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Incluído por UC10 e UC11</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RF14</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UC13</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Consultar estatísticas do hábito</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Concreto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Estende UC01</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RF17, RF18, RF19, RF20 e RF21</w:t>
            </w:r>
          </w:p>
        </w:tc>
      </w:tr>
      <w:tr>
        <w:trPr/>
        <w:tc>
          <w:tcPr>
            <w:tcW w:w="109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UC14</w:t>
            </w:r>
          </w:p>
        </w:tc>
        <w:tc>
          <w:tcPr>
            <w:tcW w:w="207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Manter perfil</w:t>
            </w:r>
          </w:p>
        </w:tc>
        <w:tc>
          <w:tcPr>
            <w:tcW w:w="126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Concreto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Estende UC01</w:t>
            </w:r>
          </w:p>
        </w:tc>
        <w:tc>
          <w:tcPr>
            <w:tcW w:w="19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center"/>
              <w:rPr>
                <w:sz w:val="18"/>
              </w:rPr>
            </w:pPr>
            <w:r>
              <w:rPr>
                <w:sz w:val="18"/>
              </w:rPr>
              <w:t>RF10</w:t>
            </w:r>
          </w:p>
        </w:tc>
      </w:tr>
    </w:tbl>
    <w:p>
      <w:pPr>
        <w:pStyle w:val="BodyText"/>
        <w:bidi w:val="0"/>
        <w:spacing w:before="60" w:after="240"/>
        <w:ind w:hanging="0" w:left="60" w:right="60"/>
        <w:rPr>
          <w:sz w:val="20"/>
        </w:rPr>
      </w:pPr>
      <w:r>
        <w:rPr>
          <w:sz w:val="20"/>
        </w:rPr>
        <w:t>Fonte: Autor</w:t>
      </w:r>
    </w:p>
    <w:p>
      <w:pPr>
        <w:pStyle w:val="Heading5"/>
        <w:bidi w:val="0"/>
        <w:jc w:val="left"/>
        <w:rPr/>
      </w:pPr>
      <w:r>
        <w:rPr/>
        <w:t>Quadro 16: UC01, Autenticar usuário</w:t>
      </w:r>
    </w:p>
    <w:tbl>
      <w:tblPr>
        <w:tblW w:w="9060" w:type="dxa"/>
        <w:jc w:val="left"/>
        <w:tblInd w:w="40" w:type="dxa"/>
        <w:tblLayout w:type="fixed"/>
        <w:tblCellMar>
          <w:top w:w="28" w:type="dxa"/>
          <w:left w:w="40" w:type="dxa"/>
          <w:bottom w:w="28" w:type="dxa"/>
          <w:right w:w="40" w:type="dxa"/>
        </w:tblCellMar>
      </w:tblPr>
      <w:tblGrid>
        <w:gridCol w:w="1836"/>
        <w:gridCol w:w="7224"/>
      </w:tblGrid>
      <w:tr>
        <w:trPr>
          <w:tblHeader w:val="true"/>
        </w:trPr>
        <w:tc>
          <w:tcPr>
            <w:tcW w:w="183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RF01</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Abrir uma sessão autenticada, recuperando o acesso aos hábitos e ao histórico já registrados.</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Conta existente e com endereço de e-mail já confirmado.</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usuário seleciona a aba de entrada na tela de acesso. 2. Informa endereço de e-mail e senha. 3. Solicita a autenticação. 4. O sistema confere as credenciais. 5. O sistema emite um token de acesso com validade de vinte e quatro horas. 6. O aplicativo armazena o token em área protegida do aparelho e apresenta a tela principal.</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O usuário ainda não possui conta e segue para UC02. 2b. O usuário aciona o atalho de recuperação de senha e sai deste caso de uso.</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4a. Credenciais incorretas: o sistema recusa e informa o erro sem revelar qual dos dois campos está errado. 4b. Conta com endereço ainda não confirmado: o sistema recusa e conduz a pessoa à confirmação, reaproveitando o endereço informado. 4c. Ausência de resposta do servidor: o aplicativo informa a indisponibilidade e preserva os dados digitados.</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Sessão aberta e token armazenado. A partir daqui o usuário alcança UC09, UC13 e UC14, que estendem este caso de uso, e os demais casos de uso do sistema.</w:t>
            </w:r>
          </w:p>
        </w:tc>
      </w:tr>
      <w:tr>
        <w:trPr/>
        <w:tc>
          <w:tcPr>
            <w:tcW w:w="18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2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RNF05</w:t>
            </w:r>
          </w:p>
        </w:tc>
      </w:tr>
    </w:tbl>
    <w:p>
      <w:pPr>
        <w:pStyle w:val="BodyText"/>
        <w:bidi w:val="0"/>
        <w:spacing w:before="60" w:after="240"/>
        <w:ind w:hanging="0" w:left="60" w:right="60"/>
        <w:rPr>
          <w:sz w:val="20"/>
        </w:rPr>
      </w:pPr>
      <w:r>
        <w:rPr>
          <w:sz w:val="20"/>
        </w:rPr>
        <w:t>Fonte: Autor</w:t>
      </w:r>
    </w:p>
    <w:p>
      <w:pPr>
        <w:pStyle w:val="Heading5"/>
        <w:bidi w:val="0"/>
        <w:jc w:val="left"/>
        <w:rPr/>
      </w:pPr>
      <w:r>
        <w:rPr/>
        <w:t>Quadro 17: UC02, Criar conta</w:t>
      </w:r>
    </w:p>
    <w:tbl>
      <w:tblPr>
        <w:tblW w:w="9060" w:type="dxa"/>
        <w:jc w:val="left"/>
        <w:tblInd w:w="40" w:type="dxa"/>
        <w:tblLayout w:type="fixed"/>
        <w:tblCellMar>
          <w:top w:w="28" w:type="dxa"/>
          <w:left w:w="40" w:type="dxa"/>
          <w:bottom w:w="28" w:type="dxa"/>
          <w:right w:w="40" w:type="dxa"/>
        </w:tblCellMar>
      </w:tblPr>
      <w:tblGrid>
        <w:gridCol w:w="1489"/>
        <w:gridCol w:w="7571"/>
      </w:tblGrid>
      <w:tr>
        <w:trPr>
          <w:tblHeader w:val="true"/>
        </w:trPr>
        <w:tc>
          <w:tcPr>
            <w:tcW w:w="1489"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RF02</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Obter uma identidade persistente no sistema, à qual os hábitos e o histórico ficam vinculados.</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Endereço de e-mail ainda não cadastrado.</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usuário seleciona a aba de criação de conta. 2. Informa nome, endereço de e-mail, senha e confirmação de senha, e escolhe o idioma de preferência. 3. Solicita a criação. 4. O sistema valida os campos e a força da senha. 5. O sistema grava a conta no estado não verificado, com a senha em hash, e atribui valores padrão a fuso horário e tema. 6. O sistema gera um código de seis dígitos e o envia ao endereço informado. 7. O usuário informa o código recebido. 8. O sistema confirma o endereço e abre a sessão, sem exigir nova autenticação.</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3a. O usuário já possui conta e segue para UC01. 7a. O usuário solicita novo código, e o anterior é invalidado.</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4a. Campo obrigatório ausente ou fora do tamanho permitido: a submissão é bloqueada e o campo é apontado. 4b. Senha fora dos critérios de força: o sistema recusa indicando o critério violado. 5a. Endereço já cadastrado: o sistema recusa e sugere a entrada. 6a. Falha no envio do e-mail: a criação da conta é desfeita por inteiro, para não deixar conta sem caminho de confirmação. 7b. Código incorreto ou expirado: o sistema recusa e mantém a conta não verificada.</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Conta criada, endereço confirmado e sessão aberta.</w:t>
            </w:r>
          </w:p>
        </w:tc>
      </w:tr>
      <w:tr>
        <w:trPr/>
        <w:tc>
          <w:tcPr>
            <w:tcW w:w="148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571"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RNF05</w:t>
            </w:r>
          </w:p>
        </w:tc>
      </w:tr>
    </w:tbl>
    <w:p>
      <w:pPr>
        <w:pStyle w:val="BodyText"/>
        <w:bidi w:val="0"/>
        <w:spacing w:before="60" w:after="240"/>
        <w:ind w:hanging="0" w:left="60" w:right="60"/>
        <w:rPr>
          <w:sz w:val="20"/>
        </w:rPr>
      </w:pPr>
      <w:r>
        <w:rPr>
          <w:sz w:val="20"/>
        </w:rPr>
        <w:t>Fonte: Autor</w:t>
      </w:r>
    </w:p>
    <w:p>
      <w:pPr>
        <w:pStyle w:val="Heading5"/>
        <w:bidi w:val="0"/>
        <w:jc w:val="left"/>
        <w:rPr/>
      </w:pPr>
      <w:r>
        <w:rPr/>
        <w:t>Quadro 18: UC03, Criar hábito a partir de molde</w:t>
      </w:r>
    </w:p>
    <w:tbl>
      <w:tblPr>
        <w:tblW w:w="9060" w:type="dxa"/>
        <w:jc w:val="left"/>
        <w:tblInd w:w="40" w:type="dxa"/>
        <w:tblLayout w:type="fixed"/>
        <w:tblCellMar>
          <w:top w:w="28" w:type="dxa"/>
          <w:left w:w="40" w:type="dxa"/>
          <w:bottom w:w="28" w:type="dxa"/>
          <w:right w:w="40" w:type="dxa"/>
        </w:tblCellMar>
      </w:tblPr>
      <w:tblGrid>
        <w:gridCol w:w="1575"/>
        <w:gridCol w:w="7485"/>
      </w:tblGrid>
      <w:tr>
        <w:trPr>
          <w:tblHeader w:val="true"/>
        </w:trPr>
        <w:tc>
          <w:tcPr>
            <w:tcW w:w="157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RF03</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Registrar um hábito novo a partir de um dos três moldes fixos, que já define a categoria e o tipo de medida, reduzindo o número de decisões iniciais.</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Sessão autenticada e menos de dois hábitos ativos.</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usuário aciona a criação de hábito. 2. Escolhe um dos três moldes: Água, Estudo ou Exercício. 3. O sistema associa automaticamente o tipo de medida da categoria, que é quantidade para Água e tempo para os demais. 4. O usuário informa o título do hábito e escolhe o avatar. 5. O caso de uso inclui UC04, que conduz a definição da meta e dos demais parâmetros. 6. O usuário revisa o resumo da configuração e confirma. 7. O sistema grava o hábito e as suas ocorrências diárias.</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4a. O usuário opta pela calibração assistida e responde ao questionário, que devolve uma sugestão de meta já preenchida no passo seguinte. 6a. O usuário retorna a um passo anterior e altera o que já havia informado.</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1a. Já existem dois hábitos ativos: o sistema recusa a criação e informa o limite. 7a. Título vazio ou acima do tamanho permitido: o sistema recusa apontando o campo.</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Hábito criado no estado ativo, com as ocorrências do dia geradas, ocupando uma das duas vagas disponíveis.</w:t>
            </w:r>
          </w:p>
        </w:tc>
      </w:tr>
      <w:tr>
        <w:trPr/>
        <w:tc>
          <w:tcPr>
            <w:tcW w:w="157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485"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RNF01</w:t>
            </w:r>
          </w:p>
        </w:tc>
      </w:tr>
    </w:tbl>
    <w:p>
      <w:pPr>
        <w:pStyle w:val="BodyText"/>
        <w:bidi w:val="0"/>
        <w:spacing w:before="60" w:after="240"/>
        <w:ind w:hanging="0" w:left="60" w:right="60"/>
        <w:rPr>
          <w:sz w:val="20"/>
        </w:rPr>
      </w:pPr>
      <w:r>
        <w:rPr>
          <w:sz w:val="20"/>
        </w:rPr>
        <w:t>Fonte: Autor</w:t>
      </w:r>
    </w:p>
    <w:p>
      <w:pPr>
        <w:pStyle w:val="Heading5"/>
        <w:bidi w:val="0"/>
        <w:jc w:val="left"/>
        <w:rPr/>
      </w:pPr>
      <w:r>
        <w:rPr/>
        <w:t>Quadro 19: UC04, Definir meta mínima</w:t>
      </w:r>
    </w:p>
    <w:tbl>
      <w:tblPr>
        <w:tblW w:w="9060" w:type="dxa"/>
        <w:jc w:val="left"/>
        <w:tblInd w:w="40" w:type="dxa"/>
        <w:tblLayout w:type="fixed"/>
        <w:tblCellMar>
          <w:top w:w="28" w:type="dxa"/>
          <w:left w:w="40" w:type="dxa"/>
          <w:bottom w:w="28" w:type="dxa"/>
          <w:right w:w="40" w:type="dxa"/>
        </w:tblCellMar>
      </w:tblPr>
      <w:tblGrid>
        <w:gridCol w:w="2040"/>
        <w:gridCol w:w="7020"/>
      </w:tblGrid>
      <w:tr>
        <w:trPr>
          <w:tblHeader w:val="true"/>
        </w:trPr>
        <w:tc>
          <w:tcPr>
            <w:tcW w:w="2040"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RF04</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Definir o valor diário que caracteriza o dia como cumprido.</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Caso de uso incluído por UC03, na criação, ou acionado como extensão de UC08, na manutenção de um hábito existente.</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sistema apresenta o campo da meta, na unidade do tipo de medida do hábito. 2. O usuário informa o valor. 3. O sistema valida que o valor é maior que zero e compatível com o número de ocorrências diárias. 4. O caso de uso inclui UC05, que conduz a definição da progressão.</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O usuário aceita a sugestão vinda da calibração assistida, sem digitar valor.</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3a. Meta vazia, igual a zero ou negativa: o sistema recusa e informa que o valor deve ser maior que zero. 3b. Meta menor que o número de ocorrências do dia: o sistema recusa, porque a repartição resultaria em ocorrência de valor nulo.</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Meta diária definida e repartida entre as ocorrências, quando houver mais de uma.</w:t>
            </w:r>
          </w:p>
        </w:tc>
      </w:tr>
      <w:tr>
        <w:trPr/>
        <w:tc>
          <w:tcPr>
            <w:tcW w:w="20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02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Nenhum</w:t>
            </w:r>
          </w:p>
        </w:tc>
      </w:tr>
    </w:tbl>
    <w:p>
      <w:pPr>
        <w:pStyle w:val="BodyText"/>
        <w:bidi w:val="0"/>
        <w:spacing w:before="60" w:after="240"/>
        <w:ind w:hanging="0" w:left="60" w:right="60"/>
        <w:rPr>
          <w:sz w:val="20"/>
        </w:rPr>
      </w:pPr>
      <w:r>
        <w:rPr>
          <w:sz w:val="20"/>
        </w:rPr>
        <w:t>Fonte: Autor</w:t>
      </w:r>
    </w:p>
    <w:p>
      <w:pPr>
        <w:pStyle w:val="Heading5"/>
        <w:bidi w:val="0"/>
        <w:jc w:val="left"/>
        <w:rPr/>
      </w:pPr>
      <w:r>
        <w:rPr/>
        <w:t>Quadro 20: UC05, Definir progressão da meta</w:t>
      </w:r>
    </w:p>
    <w:tbl>
      <w:tblPr>
        <w:tblW w:w="9060" w:type="dxa"/>
        <w:jc w:val="left"/>
        <w:tblInd w:w="40" w:type="dxa"/>
        <w:tblLayout w:type="fixed"/>
        <w:tblCellMar>
          <w:top w:w="28" w:type="dxa"/>
          <w:left w:w="40" w:type="dxa"/>
          <w:bottom w:w="28" w:type="dxa"/>
          <w:right w:w="40" w:type="dxa"/>
        </w:tblCellMar>
      </w:tblPr>
      <w:tblGrid>
        <w:gridCol w:w="2168"/>
        <w:gridCol w:w="6892"/>
      </w:tblGrid>
      <w:tr>
        <w:trPr>
          <w:tblHeader w:val="true"/>
        </w:trPr>
        <w:tc>
          <w:tcPr>
            <w:tcW w:w="216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RF05</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Determinar como a meta cresce à medida que os dias cumpridos se acumulam, viabilizando o princípio de começar pequeno e aumentar gradualmente.</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Caso de uso incluído por UC04.</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sistema apresenta os campos de incremento, intervalo em dias e teto opcional. 2. O usuário informa os valores ou mantém a progressão desligada. 3. O sistema valida a combinação. 4. O caso de uso inclui UC06, que conduz a divisão da meta.</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O usuário deixa a progressão desligada, e a meta permanece fixa. 2b. O usuário define incremento sem teto, e a meta cresce indefinidamente.</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3a. Teto menor que a meta base: o sistema recusa a combinação como incompatível. 3b. Incremento ou intervalo iguais a zero com a progressão ligada: o sistema recusa.</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Parâmetros de progressão gravados, e a partir deles a rotina de fechamento do dia passa a aplicar o incremento.</w:t>
            </w:r>
          </w:p>
        </w:tc>
      </w:tr>
      <w:tr>
        <w:trPr/>
        <w:tc>
          <w:tcPr>
            <w:tcW w:w="216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689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Nenhum</w:t>
            </w:r>
          </w:p>
        </w:tc>
      </w:tr>
    </w:tbl>
    <w:p>
      <w:pPr>
        <w:pStyle w:val="BodyText"/>
        <w:bidi w:val="0"/>
        <w:spacing w:before="60" w:after="240"/>
        <w:ind w:hanging="0" w:left="60" w:right="60"/>
        <w:rPr>
          <w:sz w:val="20"/>
        </w:rPr>
      </w:pPr>
      <w:r>
        <w:rPr>
          <w:sz w:val="20"/>
        </w:rPr>
        <w:t>Fonte: Autor</w:t>
      </w:r>
    </w:p>
    <w:p>
      <w:pPr>
        <w:pStyle w:val="Heading5"/>
        <w:bidi w:val="0"/>
        <w:jc w:val="left"/>
        <w:rPr/>
      </w:pPr>
      <w:r>
        <w:rPr/>
        <w:t>Quadro 21: UC06, Dividir a meta em sub-atividades</w:t>
      </w:r>
    </w:p>
    <w:tbl>
      <w:tblPr>
        <w:tblW w:w="9060" w:type="dxa"/>
        <w:jc w:val="left"/>
        <w:tblInd w:w="40" w:type="dxa"/>
        <w:tblLayout w:type="fixed"/>
        <w:tblCellMar>
          <w:top w:w="28" w:type="dxa"/>
          <w:left w:w="40" w:type="dxa"/>
          <w:bottom w:w="28" w:type="dxa"/>
          <w:right w:w="40" w:type="dxa"/>
        </w:tblCellMar>
      </w:tblPr>
      <w:tblGrid>
        <w:gridCol w:w="2024"/>
        <w:gridCol w:w="7036"/>
      </w:tblGrid>
      <w:tr>
        <w:trPr>
          <w:tblHeader w:val="true"/>
        </w:trPr>
        <w:tc>
          <w:tcPr>
            <w:tcW w:w="202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RF06</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Repartir a meta diária em ocorrências menores, para que a pessoa enfrente várias tarefas pequenas em lugar de uma única tarefa grande.</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Caso de uso incluído por UC05.</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sistema apresenta o campo de vezes ao dia. 2. O usuário informa quantas ocorrências deseja. 3. O sistema reparte a meta diária entre elas, distribuindo o resto nas primeiras quando a divisão não é exata. 4. O caso de uso inclui UC07, que conduz a definição dos dias e horários.</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O usuário mantém uma única ocorrência por dia, e a meta do dia coincide com o alvo da ocorrência.</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3a. Valor menor que um ou acima do limite de doze: o sistema recusa e informa a faixa permitida. 3b. Número de ocorrências maior que a meta: o sistema recusa, porque alguma ocorrência ficaria com alvo nulo.</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Sub-atividades criadas, cada uma com o seu alvo próprio.</w:t>
            </w:r>
          </w:p>
        </w:tc>
      </w:tr>
      <w:tr>
        <w:trPr/>
        <w:tc>
          <w:tcPr>
            <w:tcW w:w="202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03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RNF01</w:t>
            </w:r>
          </w:p>
        </w:tc>
      </w:tr>
    </w:tbl>
    <w:p>
      <w:pPr>
        <w:pStyle w:val="BodyText"/>
        <w:bidi w:val="0"/>
        <w:spacing w:before="60" w:after="240"/>
        <w:ind w:hanging="0" w:left="60" w:right="60"/>
        <w:rPr>
          <w:sz w:val="20"/>
        </w:rPr>
      </w:pPr>
      <w:r>
        <w:rPr>
          <w:sz w:val="20"/>
        </w:rPr>
        <w:t>Fonte: Autor</w:t>
      </w:r>
    </w:p>
    <w:p>
      <w:pPr>
        <w:pStyle w:val="Heading5"/>
        <w:bidi w:val="0"/>
        <w:jc w:val="left"/>
        <w:rPr/>
      </w:pPr>
      <w:r>
        <w:rPr/>
        <w:t>Quadro 22: UC07, Definir dias e horários</w:t>
      </w:r>
    </w:p>
    <w:tbl>
      <w:tblPr>
        <w:tblW w:w="9060" w:type="dxa"/>
        <w:jc w:val="left"/>
        <w:tblInd w:w="40" w:type="dxa"/>
        <w:tblLayout w:type="fixed"/>
        <w:tblCellMar>
          <w:top w:w="28" w:type="dxa"/>
          <w:left w:w="40" w:type="dxa"/>
          <w:bottom w:w="28" w:type="dxa"/>
          <w:right w:w="40" w:type="dxa"/>
        </w:tblCellMar>
      </w:tblPr>
      <w:tblGrid>
        <w:gridCol w:w="2083"/>
        <w:gridCol w:w="6977"/>
      </w:tblGrid>
      <w:tr>
        <w:trPr>
          <w:tblHeader w:val="true"/>
        </w:trPr>
        <w:tc>
          <w:tcPr>
            <w:tcW w:w="2083"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RF07</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Determinar em quais dias da semana o hábito é cobrado e em que momentos do dia cada ocorrência acontece.</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Caso de uso incluído por UC06.</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sistema apresenta os sete dias da semana e um horário por ocorrência. 2. O usuário marca os dias em que o hábito é cobrado. 3. O usuário informa o horário de início de cada ocorrência e, opcionalmente, o de fim. 4. O sistema valida a sequência dos horários.</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3a. O usuário não informa horário, e o sistema adota o padrão de fim de dia.</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Nenhum dia marcado: o sistema recusa, porque um hábito sem dia cobrado não é avaliável. 4a. Horário de fim anterior ao de início: o sistema recusa a janela. 4b. Ocorrência com horário incompleto: o esperado é a recusa indicando qual ocorrência está incompleta.</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Periodicidade semanal e horários gravados, encerrando a cadeia de configuração iniciada em UC03 e devolvendo o controle a ele.</w:t>
            </w:r>
          </w:p>
        </w:tc>
      </w:tr>
      <w:tr>
        <w:trPr/>
        <w:tc>
          <w:tcPr>
            <w:tcW w:w="20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697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RNF10</w:t>
            </w:r>
          </w:p>
        </w:tc>
      </w:tr>
    </w:tbl>
    <w:p>
      <w:pPr>
        <w:pStyle w:val="BodyText"/>
        <w:bidi w:val="0"/>
        <w:spacing w:before="60" w:after="240"/>
        <w:ind w:hanging="0" w:left="60" w:right="60"/>
        <w:rPr>
          <w:sz w:val="20"/>
        </w:rPr>
      </w:pPr>
      <w:r>
        <w:rPr>
          <w:sz w:val="20"/>
        </w:rPr>
        <w:t>Fonte: Autor</w:t>
      </w:r>
    </w:p>
    <w:p>
      <w:pPr>
        <w:pStyle w:val="Heading5"/>
        <w:bidi w:val="0"/>
        <w:jc w:val="left"/>
        <w:rPr/>
      </w:pPr>
      <w:r>
        <w:rPr/>
        <w:t>Quadro 23: UC08, Manter hábito</w:t>
      </w:r>
    </w:p>
    <w:tbl>
      <w:tblPr>
        <w:tblW w:w="9060" w:type="dxa"/>
        <w:jc w:val="left"/>
        <w:tblInd w:w="40" w:type="dxa"/>
        <w:tblLayout w:type="fixed"/>
        <w:tblCellMar>
          <w:top w:w="28" w:type="dxa"/>
          <w:left w:w="40" w:type="dxa"/>
          <w:bottom w:w="28" w:type="dxa"/>
          <w:right w:w="40" w:type="dxa"/>
        </w:tblCellMar>
      </w:tblPr>
      <w:tblGrid>
        <w:gridCol w:w="1894"/>
        <w:gridCol w:w="7166"/>
      </w:tblGrid>
      <w:tr>
        <w:trPr>
          <w:tblHeader w:val="true"/>
        </w:trPr>
        <w:tc>
          <w:tcPr>
            <w:tcW w:w="189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RF08</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Reunir, a partir do menu do hábito, as operações de manutenção disponíveis sobre um hábito já existente, que são a edição dos parâmetros e a exclusão.</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Sessão autenticada e ao menos um hábito ativo.</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usuário aciona o menu do hábito na tela inicial. 2. Escolhe entre editar e excluir. 3. Na edição, o caso de uso é estendido por UC04, que reabre a cadeia de configuração com os valores atuais. 4. O sistema grava as alterações e recria as ocorrências conforme a nova configuração, preservando o histórico de execuções.</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O usuário escolhe excluir: o sistema pede confirmação identificando o hábito pelo título, marca o hábito como inativo, grava o instante da exclusão e libera a vaga no limite de hábitos ativos. 2b. O usuário recusa a confirmação, e nada é alterado.</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4a. Alteração que viola uma regra de configuração, como teto menor que a meta base: o sistema recusa, reaproveitando as validações da cadeia de UC04 a UC07.</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Na edição, parâmetros atualizados e ocorrências recriadas. Na exclusão, o hábito sai da lista do usuário e não há caminho de retorno pela interface; o registro e o histórico permanecem gravados no banco, por integridade referencial.</w:t>
            </w:r>
          </w:p>
        </w:tc>
      </w:tr>
      <w:tr>
        <w:trPr/>
        <w:tc>
          <w:tcPr>
            <w:tcW w:w="189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16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RNF01</w:t>
            </w:r>
          </w:p>
        </w:tc>
      </w:tr>
    </w:tbl>
    <w:p>
      <w:pPr>
        <w:pStyle w:val="BodyText"/>
        <w:bidi w:val="0"/>
        <w:spacing w:before="60" w:after="240"/>
        <w:ind w:hanging="0" w:left="60" w:right="60"/>
        <w:rPr>
          <w:sz w:val="20"/>
        </w:rPr>
      </w:pPr>
      <w:r>
        <w:rPr>
          <w:sz w:val="20"/>
        </w:rPr>
        <w:t>Fonte: Autor</w:t>
      </w:r>
    </w:p>
    <w:p>
      <w:pPr>
        <w:pStyle w:val="Heading5"/>
        <w:bidi w:val="0"/>
        <w:jc w:val="left"/>
        <w:rPr/>
      </w:pPr>
      <w:r>
        <w:rPr/>
        <w:t>Quadro 24: UC09, Evoluir tarefa</w:t>
      </w:r>
    </w:p>
    <w:tbl>
      <w:tblPr>
        <w:tblW w:w="9060" w:type="dxa"/>
        <w:jc w:val="left"/>
        <w:tblInd w:w="40" w:type="dxa"/>
        <w:tblLayout w:type="fixed"/>
        <w:tblCellMar>
          <w:top w:w="28" w:type="dxa"/>
          <w:left w:w="40" w:type="dxa"/>
          <w:bottom w:w="28" w:type="dxa"/>
          <w:right w:w="40" w:type="dxa"/>
        </w:tblCellMar>
      </w:tblPr>
      <w:tblGrid>
        <w:gridCol w:w="1358"/>
        <w:gridCol w:w="7702"/>
      </w:tblGrid>
      <w:tr>
        <w:trPr>
          <w:tblHeader w:val="true"/>
        </w:trPr>
        <w:tc>
          <w:tcPr>
            <w:tcW w:w="135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RF16, RF11, RF12 e RF15</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Conduzir a tarefa do início ao registro do valor realizado, reunindo em uma única sequência o disparo da ocorrência, a execução por tempo ou por quantidade e o registro do esforço além do combinado.</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Sessão autenticada, obtida em UC01, que este caso de uso estende. Hábito ativo com ocorrência prevista para o momento.</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usuário aciona a ocorrência do dia na tela inicial. 2. O sistema verifica a janela de horário, liberando o início a partir de quinze minutos antes do horário previsto. 3. O caso de uso inclui UC10, que apresenta a frase motivacional antes do início. 4. O usuário confirma o início. 5. O sistema apresenta a tela de execução conforme o tipo de medida do hábito: cronômetro regressivo para tempo, contador incremental com anel de progresso para quantidade. 6. O usuário executa a atividade até alcançar o alvo da ocorrência. 7. O sistema registra a execução com um token de unicidade, acumula o valor realizado e credita as moedas do patamar alcançado.</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5a. Na execução por tempo, o aplicativo é minimizado e a contagem é recuperada ao retornar, a partir do estado salvo. 6a. O usuário ultrapassa o alvo da ocorrência: a contagem passa a crescer sinalizando a superação, e o valor extra é registrado sem teto superior. 6b. O usuário decide não concluir, e o caso de uso é estendido por UC11.</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Tentativa de início fora da janela de horário: o sistema informa quando a ocorrência será liberada. 7a. Token de execução repetido: o sistema recusa o segundo registro, impedindo contagem em duplicidade. 7b. Queda de conexão no momento de concluir: o esperado é informar o erro e manter a execução ativa para nova tentativa.</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Execução gravada no histórico, valor realizado acumulado no dia, moedas creditadas conforme o patamar atingido e o caso de uso inclui UC12, que apresenta o resultado.</w:t>
            </w:r>
          </w:p>
        </w:tc>
      </w:tr>
      <w:tr>
        <w:trPr/>
        <w:tc>
          <w:tcPr>
            <w:tcW w:w="13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70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RNF04, RNF06, RNF07 e RNF11</w:t>
            </w:r>
          </w:p>
        </w:tc>
      </w:tr>
    </w:tbl>
    <w:p>
      <w:pPr>
        <w:pStyle w:val="BodyText"/>
        <w:bidi w:val="0"/>
        <w:spacing w:before="60" w:after="240"/>
        <w:ind w:hanging="0" w:left="60" w:right="60"/>
        <w:rPr>
          <w:sz w:val="20"/>
        </w:rPr>
      </w:pPr>
      <w:r>
        <w:rPr>
          <w:sz w:val="20"/>
        </w:rPr>
        <w:t>Fonte: Autor</w:t>
      </w:r>
    </w:p>
    <w:p>
      <w:pPr>
        <w:pStyle w:val="Heading5"/>
        <w:bidi w:val="0"/>
        <w:jc w:val="left"/>
        <w:rPr/>
      </w:pPr>
      <w:r>
        <w:rPr/>
        <w:t>Quadro 25: UC10, Exibir frase motivacional</w:t>
      </w:r>
    </w:p>
    <w:tbl>
      <w:tblPr>
        <w:tblW w:w="9060" w:type="dxa"/>
        <w:jc w:val="left"/>
        <w:tblInd w:w="40" w:type="dxa"/>
        <w:tblLayout w:type="fixed"/>
        <w:tblCellMar>
          <w:top w:w="28" w:type="dxa"/>
          <w:left w:w="40" w:type="dxa"/>
          <w:bottom w:w="28" w:type="dxa"/>
          <w:right w:w="40" w:type="dxa"/>
        </w:tblCellMar>
      </w:tblPr>
      <w:tblGrid>
        <w:gridCol w:w="2343"/>
        <w:gridCol w:w="6717"/>
      </w:tblGrid>
      <w:tr>
        <w:trPr>
          <w:tblHeader w:val="true"/>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RF09</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Reduzir o atrito entre a intenção e a ação, apresentando um estímulo curto imediatamente antes da execução.</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Caso de uso incluído por UC09, no instante que antecede o início da tarefa.</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sistema seleciona uma frase da biblioteca de textos, na categoria do hábito e no idioma do perfil. 2. O sistema apresenta a frase junto do alvo da ocorrência. 3. O usuário prossegue para a execução.</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1a. Não há frase cadastrada para a combinação de categoria e idioma: o sistema apresenta um texto padrão da categoria.</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1b. Falha ao obter a frase: a tela prossegue sem o estímulo, sem impedir o início da tarefa.</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Frase apresentada e controle devolvido a UC09. Este caso de uso inclui UC12, que apresenta o resultado ao fim da execução.</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671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RNF10</w:t>
            </w:r>
          </w:p>
        </w:tc>
      </w:tr>
    </w:tbl>
    <w:p>
      <w:pPr>
        <w:pStyle w:val="BodyText"/>
        <w:bidi w:val="0"/>
        <w:spacing w:before="60" w:after="240"/>
        <w:ind w:hanging="0" w:left="60" w:right="60"/>
        <w:rPr>
          <w:sz w:val="20"/>
        </w:rPr>
      </w:pPr>
      <w:r>
        <w:rPr>
          <w:sz w:val="20"/>
        </w:rPr>
        <w:t>Fonte: Autor</w:t>
      </w:r>
    </w:p>
    <w:p>
      <w:pPr>
        <w:pStyle w:val="Heading5"/>
        <w:bidi w:val="0"/>
        <w:jc w:val="left"/>
        <w:rPr/>
      </w:pPr>
      <w:r>
        <w:rPr/>
        <w:t>Quadro 26: UC11, Desistir da tarefa</w:t>
      </w:r>
    </w:p>
    <w:tbl>
      <w:tblPr>
        <w:tblW w:w="9060" w:type="dxa"/>
        <w:jc w:val="left"/>
        <w:tblInd w:w="40" w:type="dxa"/>
        <w:tblLayout w:type="fixed"/>
        <w:tblCellMar>
          <w:top w:w="28" w:type="dxa"/>
          <w:left w:w="40" w:type="dxa"/>
          <w:bottom w:w="28" w:type="dxa"/>
          <w:right w:w="40" w:type="dxa"/>
        </w:tblCellMar>
      </w:tblPr>
      <w:tblGrid>
        <w:gridCol w:w="1996"/>
        <w:gridCol w:w="7064"/>
      </w:tblGrid>
      <w:tr>
        <w:trPr>
          <w:tblHeader w:val="true"/>
        </w:trPr>
        <w:tc>
          <w:tcPr>
            <w:tcW w:w="1996"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RF13</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Oferecer uma saída sem punição a quem não vai concluir, registrando o esforço parcial realizado.</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Execução em andamento. Caso de uso que estende UC10.</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usuário aciona a desistência durante a execução. 2. O sistema pausa a contagem e apresenta o diálogo de confirmação, informando o efeito sobre a ofensiva. 3. O usuário confirma. 4. O sistema registra a execução com a classificação de desistência e preserva o valor parcial já realizado.</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O usuário possui escudo disponível e opta por usá-lo, preservando a ofensiva. 3a. O usuário recusa a confirmação, e a contagem é retomada do ponto em que parou.</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2b. Não há escudo disponível: a opção de proteção é apresentada como indisponível, e a desistência segue sem ela. 4a. Falha de rede no registro: o sistema informa e mantém a execução em tela para nova tentativa.</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Desistência gravada, valor parcial preservado no histórico e ofensiva encerrada, salvo uso de escudo. O caso de uso inclui UC12, que apresenta o resultado.</w:t>
            </w:r>
          </w:p>
        </w:tc>
      </w:tr>
      <w:tr>
        <w:trPr/>
        <w:tc>
          <w:tcPr>
            <w:tcW w:w="199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06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RNF04 e RNF11</w:t>
            </w:r>
          </w:p>
        </w:tc>
      </w:tr>
    </w:tbl>
    <w:p>
      <w:pPr>
        <w:pStyle w:val="BodyText"/>
        <w:bidi w:val="0"/>
        <w:spacing w:before="60" w:after="240"/>
        <w:ind w:hanging="0" w:left="60" w:right="60"/>
        <w:rPr>
          <w:sz w:val="20"/>
        </w:rPr>
      </w:pPr>
      <w:r>
        <w:rPr>
          <w:sz w:val="20"/>
        </w:rPr>
        <w:t>Fonte: Autor</w:t>
      </w:r>
    </w:p>
    <w:p>
      <w:pPr>
        <w:pStyle w:val="Heading5"/>
        <w:bidi w:val="0"/>
        <w:jc w:val="left"/>
        <w:rPr/>
      </w:pPr>
      <w:r>
        <w:rPr/>
        <w:t>Quadro 27: UC12, Exibir resultado da tarefa</w:t>
      </w:r>
    </w:p>
    <w:tbl>
      <w:tblPr>
        <w:tblW w:w="9060" w:type="dxa"/>
        <w:jc w:val="left"/>
        <w:tblInd w:w="40" w:type="dxa"/>
        <w:tblLayout w:type="fixed"/>
        <w:tblCellMar>
          <w:top w:w="28" w:type="dxa"/>
          <w:left w:w="40" w:type="dxa"/>
          <w:bottom w:w="28" w:type="dxa"/>
          <w:right w:w="40" w:type="dxa"/>
        </w:tblCellMar>
      </w:tblPr>
      <w:tblGrid>
        <w:gridCol w:w="2198"/>
        <w:gridCol w:w="6862"/>
      </w:tblGrid>
      <w:tr>
        <w:trPr>
          <w:tblHeader w:val="true"/>
        </w:trPr>
        <w:tc>
          <w:tcPr>
            <w:tcW w:w="219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RF14</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Devolver à pessoa, de imediato, o efeito do que acabou de fazer, com recompensa visual no sucesso e linguagem não punitiva na falha.</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Caso de uso incluído por UC10, na conclusão, ou por UC11, na desistência.</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sistema apura o desfecho da ocorrência. 2. Apresenta a tela de sucesso, com o avatar em expressão positiva, as moedas creditadas e a ofensiva atualizada.</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Desfecho de desistência ou de meta não alcançada: o sistema apresenta a tela de falha, com texto que não culpa nem pune e convida ao retorno. 2b. Uso de escudo: a tela informa que a ofensiva foi preservada e quantos escudos restam.</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1a. Falha ao obter o desfecho: a tela apresenta o valor registrado localmente e indica que a sincronização está pendente.</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Nenhuma alteração de estado. O resultado é apresentação do que já foi gravado em UC09 ou UC11.</w:t>
            </w:r>
          </w:p>
        </w:tc>
      </w:tr>
      <w:tr>
        <w:trPr/>
        <w:tc>
          <w:tcPr>
            <w:tcW w:w="219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686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RNF01 e RNF02</w:t>
            </w:r>
          </w:p>
        </w:tc>
      </w:tr>
    </w:tbl>
    <w:p>
      <w:pPr>
        <w:pStyle w:val="BodyText"/>
        <w:bidi w:val="0"/>
        <w:spacing w:before="60" w:after="240"/>
        <w:ind w:hanging="0" w:left="60" w:right="60"/>
        <w:rPr>
          <w:sz w:val="20"/>
        </w:rPr>
      </w:pPr>
      <w:r>
        <w:rPr>
          <w:sz w:val="20"/>
        </w:rPr>
        <w:t>Fonte: Autor</w:t>
      </w:r>
    </w:p>
    <w:p>
      <w:pPr>
        <w:pStyle w:val="Heading5"/>
        <w:bidi w:val="0"/>
        <w:jc w:val="left"/>
        <w:rPr/>
      </w:pPr>
      <w:r>
        <w:rPr/>
        <w:t>Quadro 28: UC13, Consultar estatísticas do hábito</w:t>
      </w:r>
    </w:p>
    <w:tbl>
      <w:tblPr>
        <w:tblW w:w="9060" w:type="dxa"/>
        <w:jc w:val="left"/>
        <w:tblInd w:w="40" w:type="dxa"/>
        <w:tblLayout w:type="fixed"/>
        <w:tblCellMar>
          <w:top w:w="28" w:type="dxa"/>
          <w:left w:w="40" w:type="dxa"/>
          <w:bottom w:w="28" w:type="dxa"/>
          <w:right w:w="40" w:type="dxa"/>
        </w:tblCellMar>
      </w:tblPr>
      <w:tblGrid>
        <w:gridCol w:w="1633"/>
        <w:gridCol w:w="7427"/>
      </w:tblGrid>
      <w:tr>
        <w:trPr>
          <w:tblHeader w:val="true"/>
        </w:trPr>
        <w:tc>
          <w:tcPr>
            <w:tcW w:w="1633"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RF17, RF18, RF19, RF20 e RF21</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Reunir em uma única tela a retroalimentação sobre a constância ao longo do tempo, sem exigir que a pessoa calcule ou estime o próprio progresso.</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Sessão autenticada, obtida em UC01, que este caso de uso estende. Ao menos um hábito ativo.</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usuário abre a tela de acompanhamento e escolhe o hábito. 2. O sistema apura a janela dos últimos trinta dias. 3. Apresenta a ofensiva atual, em dias consecutivos de meta cumprida. 4. Apresenta o gráfico com o valor realizado por dia no período. 5. Apresenta os três maiores valores realizados em um único dia, cada um com a sua data. 6. Apresenta o percentual de constância, que é a proporção de dias cobrados em que a meta foi cumprida.</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1a. O usuário alterna entre os hábitos ativos pelo seletor no topo, e os indicadores são recalculados. 5a. Há menos de três dias com valor realizado: o sistema apresenta os que existem.</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2a. Hábito sem nenhuma execução registrada: o sistema apresenta o estado vazio, distinguindo ausência de dado de falha de carregamento. 2b. Nenhum dia cobrado no período: o sistema adota um como divisor mínimo, para não dividir por zero.</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Nenhuma alteração de estado. A consulta não modifica ofensiva, moedas nem histórico.</w:t>
            </w:r>
          </w:p>
        </w:tc>
      </w:tr>
      <w:tr>
        <w:trPr/>
        <w:tc>
          <w:tcPr>
            <w:tcW w:w="163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4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RNF03</w:t>
            </w:r>
          </w:p>
        </w:tc>
      </w:tr>
    </w:tbl>
    <w:p>
      <w:pPr>
        <w:pStyle w:val="BodyText"/>
        <w:bidi w:val="0"/>
        <w:spacing w:before="60" w:after="240"/>
        <w:ind w:hanging="0" w:left="60" w:right="60"/>
        <w:rPr>
          <w:sz w:val="20"/>
        </w:rPr>
      </w:pPr>
      <w:r>
        <w:rPr>
          <w:sz w:val="20"/>
        </w:rPr>
        <w:t>Fonte: Autor</w:t>
      </w:r>
    </w:p>
    <w:p>
      <w:pPr>
        <w:pStyle w:val="Heading5"/>
        <w:bidi w:val="0"/>
        <w:jc w:val="left"/>
        <w:rPr/>
      </w:pPr>
      <w:r>
        <w:rPr/>
        <w:t>Quadro 29: UC14, Manter perfil</w:t>
      </w:r>
    </w:p>
    <w:tbl>
      <w:tblPr>
        <w:tblW w:w="9060" w:type="dxa"/>
        <w:jc w:val="left"/>
        <w:tblInd w:w="40" w:type="dxa"/>
        <w:tblLayout w:type="fixed"/>
        <w:tblCellMar>
          <w:top w:w="28" w:type="dxa"/>
          <w:left w:w="40" w:type="dxa"/>
          <w:bottom w:w="28" w:type="dxa"/>
          <w:right w:w="40" w:type="dxa"/>
        </w:tblCellMar>
      </w:tblPr>
      <w:tblGrid>
        <w:gridCol w:w="1952"/>
        <w:gridCol w:w="7108"/>
      </w:tblGrid>
      <w:tr>
        <w:trPr>
          <w:tblHeader w:val="true"/>
        </w:trPr>
        <w:tc>
          <w:tcPr>
            <w:tcW w:w="1952"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Campo</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Ttulodetabela"/>
              <w:bidi w:val="0"/>
              <w:spacing w:before="0" w:after="0"/>
              <w:ind w:hanging="0" w:left="0" w:right="0"/>
              <w:jc w:val="center"/>
              <w:rPr>
                <w:sz w:val="18"/>
              </w:rPr>
            </w:pPr>
            <w:r>
              <w:rPr>
                <w:sz w:val="18"/>
              </w:rPr>
              <w:t>Descrição</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Ator principal</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Usuário</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 funcional</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RF10</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Objetivo</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Reunir em uma única tela as preferências da conta, que são o nome, a senha, o idioma do aplicativo, o fuso horário e o tema de cores.</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Pré-condições</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Sessão autenticada, obtida em UC01, que este caso de uso estende.</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 principal</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1. O usuário abre o perfil. 2. O sistema apresenta os dados da conta e as preferências vigentes. 3. O usuário altera o que desejar: nome, idioma, fuso horário ou tema. 4. O sistema valida os valores e grava, registrando o instante da alteração.</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alternativos</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3a. O usuário aciona a troca de senha, que ocorre em tela própria e exige a senha atual antes da nova. 3b. O usuário alterna o tema ou o idioma, e o efeito é imediato na interface e nos textos vindos do servidor. 3c. O usuário abandona a edição, e os valores anteriores permanecem.</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Fluxos de exceção</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4a. Idioma, tema ou fuso horário fora da lista permitida: o sistema recusa e preserva o valor anterior. 4b. Na troca de senha, senha atual incorreta: o sistema recusa, a senha permanece a mesma e a sessão não cai. 4c. Nova senha fora dos critérios de força: o sistema recusa indicando o critério violado.</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Pós-condições</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left"/>
              <w:rPr>
                <w:sz w:val="18"/>
              </w:rPr>
            </w:pPr>
            <w:r>
              <w:rPr>
                <w:sz w:val="18"/>
              </w:rPr>
              <w:t>Preferências atualizadas. A alteração do fuso horário passa a reger a virada do dia na apuração das metas. Não há exclusão de conta: o sistema não oferece essa operação.</w:t>
            </w:r>
          </w:p>
        </w:tc>
      </w:tr>
      <w:tr>
        <w:trPr/>
        <w:tc>
          <w:tcPr>
            <w:tcW w:w="195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ind w:hanging="0" w:left="0" w:right="0"/>
              <w:jc w:val="center"/>
              <w:rPr>
                <w:sz w:val="18"/>
              </w:rPr>
            </w:pPr>
            <w:r>
              <w:rPr>
                <w:sz w:val="18"/>
              </w:rPr>
              <w:t>Requisitos não funcionais atendidos</w:t>
            </w:r>
          </w:p>
        </w:tc>
        <w:tc>
          <w:tcPr>
            <w:tcW w:w="710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0"/>
              <w:jc w:val="left"/>
              <w:rPr>
                <w:sz w:val="18"/>
              </w:rPr>
            </w:pPr>
            <w:r>
              <w:rPr>
                <w:sz w:val="18"/>
              </w:rPr>
              <w:t>RNF05 e RNF10</w:t>
            </w:r>
          </w:p>
        </w:tc>
      </w:tr>
    </w:tbl>
    <w:p>
      <w:pPr>
        <w:pStyle w:val="BodyText"/>
        <w:bidi w:val="0"/>
        <w:spacing w:before="60" w:after="240"/>
        <w:ind w:hanging="0" w:left="60" w:right="60"/>
        <w:rPr>
          <w:sz w:val="20"/>
        </w:rPr>
      </w:pPr>
      <w:r>
        <w:rPr>
          <w:sz w:val="20"/>
        </w:rPr>
        <w:t>Fonte: Autor</w:t>
      </w:r>
    </w:p>
    <w:p>
      <w:pPr>
        <w:pStyle w:val="BodyText"/>
        <w:pBdr>
          <w:bottom w:val="single" w:sz="16" w:space="3" w:color="888888"/>
        </w:pBdr>
        <w:bidi w:val="0"/>
        <w:spacing w:before="560" w:after="200"/>
        <w:ind w:hanging="0" w:left="560" w:right="560"/>
        <w:rPr>
          <w:b/>
          <w:color w:val="444444"/>
          <w:sz w:val="28"/>
        </w:rPr>
      </w:pPr>
      <w:r>
        <w:rPr>
          <w:b/>
          <w:color w:val="444444"/>
          <w:sz w:val="28"/>
        </w:rPr>
        <w:t>PARTE I: LISTA DE CONFERÊNCIA DEPOIS DE APLICAR</w:t>
      </w:r>
    </w:p>
    <w:p>
      <w:pPr>
        <w:pStyle w:val="BodyText"/>
        <w:bidi w:val="0"/>
        <w:spacing w:before="0" w:after="120"/>
        <w:ind w:hanging="0" w:left="0" w:right="0"/>
        <w:jc w:val="both"/>
        <w:rPr/>
      </w:pPr>
      <w:r>
        <w:rPr/>
        <w:t>Dez verificações. Todas são conferíveis lendo o próprio arquivo.</w:t>
      </w:r>
    </w:p>
    <w:p>
      <w:pPr>
        <w:pStyle w:val="BodyText"/>
        <w:bidi w:val="0"/>
        <w:spacing w:before="0" w:after="120"/>
        <w:ind w:hanging="0" w:left="709" w:right="0"/>
        <w:jc w:val="both"/>
        <w:rPr>
          <w:sz w:val="22"/>
        </w:rPr>
      </w:pPr>
      <w:r>
        <w:rPr>
          <w:sz w:val="22"/>
        </w:rPr>
        <w:t>Fazer na ordem: primeiro atualizar os três campos de índice, com Ctrl+T e F9, e só depois conferir. Conferir antes de atualizar acusa erro que não existe.</w:t>
      </w:r>
    </w:p>
    <w:p>
      <w:pPr>
        <w:pStyle w:val="BodyText"/>
        <w:bidi w:val="0"/>
        <w:spacing w:before="0" w:after="120"/>
        <w:ind w:hanging="0" w:left="709" w:right="0"/>
        <w:jc w:val="both"/>
        <w:rPr>
          <w:sz w:val="22"/>
        </w:rPr>
      </w:pPr>
      <w:r>
        <w:rPr>
          <w:sz w:val="22"/>
        </w:rPr>
        <w:t>1. A Lista de Ilustrações tem vinte e quatro entradas. Hoje o campo guarda quinze, então ela é a que mais precisa da atualização.</w:t>
      </w:r>
    </w:p>
    <w:p>
      <w:pPr>
        <w:pStyle w:val="BodyText"/>
        <w:bidi w:val="0"/>
        <w:spacing w:before="0" w:after="120"/>
        <w:ind w:hanging="0" w:left="709" w:right="0"/>
        <w:jc w:val="both"/>
        <w:rPr>
          <w:sz w:val="22"/>
        </w:rPr>
      </w:pPr>
      <w:r>
        <w:rPr>
          <w:sz w:val="22"/>
        </w:rPr>
        <w:t>2. A Lista de Quadros tem vinte e nove entradas, numeradas de 1 a 29 sem salto. Se faltarem entradas, as legendas novas foram coladas sem o estilo Título 5. São dezesseis legendas novas só no Apêndice B.</w:t>
      </w:r>
    </w:p>
    <w:p>
      <w:pPr>
        <w:pStyle w:val="BodyText"/>
        <w:bidi w:val="0"/>
        <w:spacing w:before="0" w:after="120"/>
        <w:ind w:hanging="0" w:left="709" w:right="0"/>
        <w:jc w:val="both"/>
        <w:rPr>
          <w:sz w:val="22"/>
        </w:rPr>
      </w:pPr>
      <w:r>
        <w:rPr>
          <w:sz w:val="22"/>
        </w:rPr>
        <w:t>3. Nenhuma legenda de figura começa com inicial minúscula. Hoje a da seção 4.4 começa.</w:t>
      </w:r>
    </w:p>
    <w:p>
      <w:pPr>
        <w:pStyle w:val="BodyText"/>
        <w:bidi w:val="0"/>
        <w:spacing w:before="0" w:after="120"/>
        <w:ind w:hanging="0" w:left="709" w:right="0"/>
        <w:jc w:val="both"/>
        <w:rPr>
          <w:sz w:val="22"/>
        </w:rPr>
      </w:pPr>
      <w:r>
        <w:rPr>
          <w:sz w:val="22"/>
        </w:rPr>
        <w:t>4. A Figura 9 é a nova, e a seta que vai da API ao Resend diz API HTTP, não SMTP.</w:t>
      </w:r>
    </w:p>
    <w:p>
      <w:pPr>
        <w:pStyle w:val="BodyText"/>
        <w:bidi w:val="0"/>
        <w:spacing w:before="0" w:after="120"/>
        <w:ind w:hanging="0" w:left="709" w:right="0"/>
        <w:jc w:val="both"/>
        <w:rPr>
          <w:sz w:val="22"/>
        </w:rPr>
      </w:pPr>
      <w:r>
        <w:rPr>
          <w:sz w:val="22"/>
        </w:rPr>
        <w:t>5. Buscar "RF" e "RNF" seguidos de número em todo o documento. Todo RF entre 01 e 21 e todo RNF entre 01 e 11. Hoje as seções 9.1, 9.2 e 10.1 têm quatro fora disso.</w:t>
      </w:r>
    </w:p>
    <w:p>
      <w:pPr>
        <w:pStyle w:val="BodyText"/>
        <w:bidi w:val="0"/>
        <w:spacing w:before="0" w:after="120"/>
        <w:ind w:hanging="0" w:left="709" w:right="0"/>
        <w:jc w:val="both"/>
        <w:rPr>
          <w:sz w:val="22"/>
        </w:rPr>
      </w:pPr>
      <w:r>
        <w:rPr>
          <w:sz w:val="22"/>
        </w:rPr>
        <w:t>6. Buscar "arquiv" no documento. O resultado deve conter apenas a palavra arquivo no sentido de ficheiro.</w:t>
      </w:r>
    </w:p>
    <w:p>
      <w:pPr>
        <w:pStyle w:val="BodyText"/>
        <w:bidi w:val="0"/>
        <w:spacing w:before="0" w:after="120"/>
        <w:ind w:hanging="0" w:left="709" w:right="0"/>
        <w:jc w:val="both"/>
        <w:rPr>
          <w:sz w:val="22"/>
        </w:rPr>
      </w:pPr>
      <w:r>
        <w:rPr>
          <w:sz w:val="22"/>
        </w:rPr>
        <w:t>7. Buscar "F1", "F2" e "F0" nos Quadros 3, 4 e 5. Nenhuma referência sem o prefixo RF.</w:t>
      </w:r>
    </w:p>
    <w:p>
      <w:pPr>
        <w:pStyle w:val="BodyText"/>
        <w:bidi w:val="0"/>
        <w:spacing w:before="0" w:after="120"/>
        <w:ind w:hanging="0" w:left="709" w:right="0"/>
        <w:jc w:val="both"/>
        <w:rPr>
          <w:sz w:val="22"/>
        </w:rPr>
      </w:pPr>
      <w:r>
        <w:rPr>
          <w:sz w:val="22"/>
        </w:rPr>
        <w:t>8. Buscar "UC" em todo o documento. Todo identificador entre UC01 e UC14.</w:t>
      </w:r>
    </w:p>
    <w:p>
      <w:pPr>
        <w:pStyle w:val="BodyText"/>
        <w:bidi w:val="0"/>
        <w:spacing w:before="0" w:after="120"/>
        <w:ind w:hanging="0" w:left="709" w:right="0"/>
        <w:jc w:val="both"/>
        <w:rPr>
          <w:sz w:val="22"/>
        </w:rPr>
      </w:pPr>
      <w:r>
        <w:rPr>
          <w:sz w:val="22"/>
        </w:rPr>
        <w:t>9. Toda citação autor-data tem entrada na lista de referências. Hoje faltam quatro: ISO 2011, ISTQB 2023, NIELSEN 1994 e W3C 2018.</w:t>
      </w:r>
    </w:p>
    <w:p>
      <w:pPr>
        <w:pStyle w:val="BodyText"/>
        <w:bidi w:val="0"/>
        <w:spacing w:before="0" w:after="120"/>
        <w:ind w:hanging="0" w:left="709" w:right="0"/>
        <w:jc w:val="both"/>
        <w:rPr>
          <w:sz w:val="22"/>
        </w:rPr>
      </w:pPr>
      <w:r>
        <w:rPr>
          <w:sz w:val="22"/>
        </w:rPr>
        <w:t>10. E o inverso: toda entrada da lista é citada em algum lugar. Hoje CHOU e DETERDING não são, ver F.5.</w:t>
      </w:r>
    </w:p>
    <w:p>
      <w:pPr>
        <w:pStyle w:val="BodyText"/>
        <w:pBdr>
          <w:bottom w:val="single" w:sz="16" w:space="3" w:color="888888"/>
        </w:pBdr>
        <w:bidi w:val="0"/>
        <w:spacing w:before="560" w:after="200"/>
        <w:ind w:hanging="0" w:left="560" w:right="560"/>
        <w:rPr>
          <w:b/>
          <w:color w:val="444444"/>
          <w:sz w:val="28"/>
        </w:rPr>
      </w:pPr>
      <w:r>
        <w:rPr>
          <w:b/>
          <w:color w:val="444444"/>
          <w:sz w:val="28"/>
        </w:rPr>
        <w:t>O QUE NÃO ESTÁ NESTE DOCUMENTO, E POR QUÊ</w:t>
      </w:r>
    </w:p>
    <w:p>
      <w:pPr>
        <w:pStyle w:val="BodyText"/>
        <w:bidi w:val="0"/>
        <w:spacing w:before="0" w:after="120"/>
        <w:ind w:hanging="0" w:left="0" w:right="0"/>
        <w:jc w:val="both"/>
        <w:rPr/>
      </w:pPr>
      <w:r>
        <w:rPr/>
        <w:t>Três coisas foram deliberadamente deixadas de fora, para que a decisão fique registrada.</w:t>
      </w:r>
    </w:p>
    <w:p>
      <w:pPr>
        <w:pStyle w:val="BodyText"/>
        <w:bidi w:val="0"/>
        <w:spacing w:before="0" w:after="120"/>
        <w:ind w:hanging="0" w:left="709" w:right="0"/>
        <w:jc w:val="both"/>
        <w:rPr>
          <w:sz w:val="22"/>
        </w:rPr>
      </w:pPr>
      <w:r>
        <w:rPr>
          <w:sz w:val="22"/>
        </w:rPr>
        <w:t>O texto dos Capítulos 1, 2, 3, 5, 6, 9 e 10 não foi alterado. A revisão página por página não encontrou nesses capítulos nenhuma afirmação invalidada pelas mudanças aqui aplicadas.</w:t>
      </w:r>
    </w:p>
    <w:p>
      <w:pPr>
        <w:pStyle w:val="BodyText"/>
        <w:bidi w:val="0"/>
        <w:spacing w:before="0" w:after="120"/>
        <w:ind w:hanging="0" w:left="709" w:right="0"/>
        <w:jc w:val="both"/>
        <w:rPr>
          <w:sz w:val="22"/>
        </w:rPr>
      </w:pPr>
      <w:r>
        <w:rPr>
          <w:sz w:val="22"/>
        </w:rPr>
        <w:t>O enunciado dos requisitos funcionais não foi reescrito. A validação contra a ISO/IEC/IEEE 29148 registrou que nenhum deles está redigido como sentença com verbo modal, o que a norma pede na seção 5.2.4, e que RF08 e RF10 não são singulares. A correção disso implicaria reescrever os três quadros da seção 4.1, o que foi descartado nesta rodada. O registro completo está em validacao-requisitos-iso.md, na pasta tcc/, e serve de resposta caso a banca levante o ponto.</w:t>
      </w:r>
    </w:p>
    <w:p>
      <w:pPr>
        <w:pStyle w:val="BodyText"/>
        <w:bidi w:val="0"/>
        <w:spacing w:before="0" w:after="120"/>
        <w:ind w:hanging="0" w:left="709" w:right="0"/>
        <w:jc w:val="both"/>
        <w:rPr>
          <w:sz w:val="22"/>
        </w:rPr>
      </w:pPr>
      <w:r>
        <w:rPr>
          <w:sz w:val="22"/>
        </w:rPr>
        <w:t>O nome da coluna hab_arquivado_em, no banco de dados, não foi alterado junto com o resto. A troca exige migração de esquema e o nome não aparece em nenhum texto da monografia.</w:t>
      </w:r>
    </w:p>
    <w:sectPr>
      <w:type w:val="nextPage"/>
      <w:pgSz w:w="11906" w:h="16838"/>
      <w:pgMar w:left="1701" w:right="1134" w:gutter="0" w:header="0" w:top="1701"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rial;sans-serif" w:hAnsi="Arial;sans-serif" w:eastAsia="Arial;sans-serif" w:cs="Arial;sans-serif"/>
      <w:color w:val="auto"/>
      <w:sz w:val="24"/>
      <w:szCs w:val="24"/>
      <w:lang w:val="pt-BR" w:eastAsia="zh-CN" w:bidi="hi-IN"/>
    </w:rPr>
  </w:style>
  <w:style w:type="paragraph" w:styleId="Heading1">
    <w:name w:val="heading 1"/>
    <w:basedOn w:val="Ttulo"/>
    <w:next w:val="BodyText"/>
    <w:qFormat/>
    <w:pPr>
      <w:spacing w:lineRule="auto" w:line="360" w:before="280" w:after="120"/>
      <w:ind w:left="280" w:right="280"/>
      <w:jc w:val="left"/>
    </w:pPr>
    <w:rPr>
      <w:rFonts w:ascii="Arial;sans-serif" w:hAnsi="Arial;sans-serif" w:eastAsia="Arial;sans-serif" w:cs="Arial;sans-serif"/>
      <w:b/>
      <w:bCs/>
      <w:sz w:val="24"/>
      <w:szCs w:val="24"/>
    </w:rPr>
  </w:style>
  <w:style w:type="paragraph" w:styleId="Heading2">
    <w:name w:val="heading 2"/>
    <w:basedOn w:val="Ttulo"/>
    <w:next w:val="BodyText"/>
    <w:qFormat/>
    <w:pPr>
      <w:spacing w:lineRule="auto" w:line="360" w:before="280" w:after="120"/>
      <w:ind w:left="280" w:right="280"/>
      <w:jc w:val="left"/>
      <w:outlineLvl w:val="1"/>
    </w:pPr>
    <w:rPr>
      <w:rFonts w:ascii="Arial;sans-serif" w:hAnsi="Arial;sans-serif" w:eastAsia="Arial;sans-serif" w:cs="Arial;sans-serif"/>
      <w:b/>
      <w:bCs/>
      <w:sz w:val="24"/>
      <w:szCs w:val="24"/>
    </w:rPr>
  </w:style>
  <w:style w:type="paragraph" w:styleId="Heading3">
    <w:name w:val="heading 3"/>
    <w:basedOn w:val="Ttulo"/>
    <w:next w:val="BodyText"/>
    <w:qFormat/>
    <w:pPr>
      <w:spacing w:lineRule="auto" w:line="360" w:before="280" w:after="120"/>
      <w:ind w:left="280" w:right="280"/>
      <w:jc w:val="left"/>
      <w:outlineLvl w:val="2"/>
    </w:pPr>
    <w:rPr>
      <w:rFonts w:ascii="Arial;sans-serif" w:hAnsi="Arial;sans-serif" w:eastAsia="Arial;sans-serif" w:cs="Arial;sans-serif"/>
      <w:b/>
      <w:bCs/>
      <w:sz w:val="24"/>
      <w:szCs w:val="24"/>
    </w:rPr>
  </w:style>
  <w:style w:type="paragraph" w:styleId="Heading4">
    <w:name w:val="heading 4"/>
    <w:basedOn w:val="Ttulo"/>
    <w:next w:val="BodyText"/>
    <w:qFormat/>
    <w:pPr>
      <w:spacing w:lineRule="auto" w:line="360" w:before="280" w:after="120"/>
      <w:ind w:left="280" w:right="280"/>
      <w:jc w:val="left"/>
      <w:outlineLvl w:val="3"/>
    </w:pPr>
    <w:rPr>
      <w:rFonts w:ascii="Arial;sans-serif" w:hAnsi="Arial;sans-serif" w:eastAsia="Arial;sans-serif" w:cs="Arial;sans-serif"/>
      <w:b/>
      <w:bCs/>
      <w:sz w:val="24"/>
      <w:szCs w:val="24"/>
    </w:rPr>
  </w:style>
  <w:style w:type="paragraph" w:styleId="Heading5">
    <w:name w:val="heading 5"/>
    <w:basedOn w:val="Ttulo"/>
    <w:next w:val="BodyText"/>
    <w:qFormat/>
    <w:pPr>
      <w:spacing w:lineRule="auto" w:line="360" w:before="240" w:after="60"/>
      <w:ind w:left="240" w:right="240"/>
      <w:jc w:val="left"/>
      <w:outlineLvl w:val="4"/>
    </w:pPr>
    <w:rPr>
      <w:rFonts w:ascii="Arial;sans-serif" w:hAnsi="Arial;sans-serif" w:eastAsia="Arial;sans-serif" w:cs="Arial;sans-serif"/>
      <w:b w:val="false"/>
      <w:bCs w:val="false"/>
      <w:sz w:val="22"/>
      <w:szCs w:val="22"/>
    </w:rPr>
  </w:style>
  <w:style w:type="paragraph" w:styleId="Heading6">
    <w:name w:val="heading 6"/>
    <w:basedOn w:val="Ttulo"/>
    <w:next w:val="BodyText"/>
    <w:qFormat/>
    <w:pPr>
      <w:spacing w:lineRule="auto" w:line="360" w:before="240" w:after="60"/>
      <w:ind w:left="240" w:right="240"/>
      <w:jc w:val="left"/>
      <w:outlineLvl w:val="5"/>
    </w:pPr>
    <w:rPr>
      <w:rFonts w:ascii="Arial;sans-serif" w:hAnsi="Arial;sans-serif" w:eastAsia="Arial;sans-serif" w:cs="Arial;sans-serif"/>
      <w:b w:val="false"/>
      <w:bCs w:val="false"/>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defim">
    <w:name w:val="Caracteres de nota de fim"/>
    <w:qFormat/>
    <w:rPr/>
  </w:style>
  <w:style w:type="character" w:styleId="Caracteresdenotaderodap">
    <w:name w:val="Caracteres de nota de rodapé"/>
    <w:qFormat/>
    <w:rPr/>
  </w:style>
  <w:style w:type="character" w:styleId="Hyperlink">
    <w:name w:val="Hyperlink"/>
    <w:rPr>
      <w:color w:val="000080"/>
      <w:u w:val="single"/>
    </w:rPr>
  </w:style>
  <w:style w:type="paragraph" w:styleId="Linhahorizontal">
    <w:name w:val="Linh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dodatabela">
    <w:name w:val="Conteúdo da tabela"/>
    <w:basedOn w:val="BodyText"/>
    <w:qFormat/>
    <w:pPr/>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Atualização da Monografia Tempo Claro</dc:title>
</cp:coreProperties>
</file>

<file path=docProps/custom.xml><?xml version="1.0" encoding="utf-8"?>
<Properties xmlns="http://schemas.openxmlformats.org/officeDocument/2006/custom-properties" xmlns:vt="http://schemas.openxmlformats.org/officeDocument/2006/docPropsVTypes"/>
</file>