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SUPPLIER ONBOARDING SOP</w:t>
      </w:r>
    </w:p>
    <w:p>
      <w:pPr>
        <w:jc w:val="center"/>
      </w:pPr>
      <w:r>
        <w:rPr>
          <w:sz w:val="18"/>
        </w:rPr>
        <w:t>Document ID: DOC-008 | Version: 3.1 | Effective: 2026-01-01 | Status: ACTIVE</w:t>
      </w:r>
    </w:p>
    <w:p>
      <w:pPr>
        <w:pStyle w:val="Heading1"/>
      </w:pPr>
      <w:r>
        <w:t>1. Purpose</w:t>
      </w:r>
    </w:p>
    <w:p>
      <w:r>
        <w:t>Define the operational steps and evidence required to onboard a new supplier, including transportation carriers.</w:t>
      </w:r>
    </w:p>
    <w:p>
      <w:pPr>
        <w:pStyle w:val="Heading1"/>
      </w:pPr>
      <w:r>
        <w:t>2. Required onboarding documents</w:t>
      </w:r>
    </w:p>
    <w:p>
      <w:pPr>
        <w:pStyle w:val="ListBullet"/>
      </w:pPr>
      <w:r>
        <w:t>Legal registration and tax identification documentation.</w:t>
      </w:r>
    </w:p>
    <w:p>
      <w:pPr>
        <w:pStyle w:val="ListBullet"/>
      </w:pPr>
      <w:r>
        <w:t>Banking information validated through the approved supplier-registration process.</w:t>
      </w:r>
    </w:p>
    <w:p>
      <w:pPr>
        <w:pStyle w:val="ListBullet"/>
      </w:pPr>
      <w:r>
        <w:t>Signed commercial proposal or applicable contract documentation.</w:t>
      </w:r>
    </w:p>
    <w:p>
      <w:pPr>
        <w:pStyle w:val="ListBullet"/>
      </w:pPr>
      <w:r>
        <w:t>Required insurance certificates for the contracted service.</w:t>
      </w:r>
    </w:p>
    <w:p>
      <w:pPr>
        <w:pStyle w:val="ListBullet"/>
      </w:pPr>
      <w:r>
        <w:t>Compliance and conflict-of-interest declarations.</w:t>
      </w:r>
    </w:p>
    <w:p>
      <w:pPr>
        <w:pStyle w:val="ListBullet"/>
      </w:pPr>
      <w:r>
        <w:t>Information-security and data-handling assessment when the supplier will access enterprise or customer information.</w:t>
      </w:r>
    </w:p>
    <w:p>
      <w:pPr>
        <w:pStyle w:val="ListBullet"/>
      </w:pPr>
      <w:r>
        <w:t>Operational capability evidence relevant to the service, including licenses or certifications where applicable.</w:t>
      </w:r>
    </w:p>
    <w:p>
      <w:pPr>
        <w:pStyle w:val="Heading1"/>
      </w:pPr>
      <w:r>
        <w:t>3. Validation workflow</w:t>
      </w:r>
    </w:p>
    <w:p>
      <w:r>
        <w:t>1. Business owner submits the onboarding request and service scope.</w:t>
      </w:r>
    </w:p>
    <w:p>
      <w:r>
        <w:t>2. Procurement validates commercial and supplier-registration documentation.</w:t>
      </w:r>
    </w:p>
    <w:p>
      <w:r>
        <w:t>3. Risk and compliance checks are completed according to the Supplier Risk Policy.</w:t>
      </w:r>
    </w:p>
    <w:p>
      <w:r>
        <w:t>4. Information Security review is completed when data access or processing is in scope.</w:t>
      </w:r>
    </w:p>
    <w:p>
      <w:r>
        <w:t>5. Required approval is obtained under the Approval Authority Matrix.</w:t>
      </w:r>
    </w:p>
    <w:p>
      <w:r>
        <w:t>6. Supplier master record is activated only after mandatory evidence is complete or a formally approved exception exists.</w:t>
      </w:r>
    </w:p>
    <w:p>
      <w:pPr>
        <w:pStyle w:val="Heading1"/>
      </w:pPr>
      <w:r>
        <w:t>4. Transportation carriers</w:t>
      </w:r>
    </w:p>
    <w:p>
      <w:r>
        <w:t>Carrier onboarding additionally requires evidence of operating authority, service coverage, insurance appropriate to the transportation scope, and operational contacts. Activation does not waive performance monitoring under the Carrier Management Policy.</w:t>
      </w:r>
    </w:p>
    <w:p>
      <w:pPr>
        <w:pStyle w:val="Heading1"/>
      </w:pPr>
      <w:r>
        <w:t>5. Emergency onboarding</w:t>
      </w:r>
    </w:p>
    <w:p>
      <w:r>
        <w:t>An emergency business need may use an expedited review only when permitted by the Approval Authority Matrix. Minimum legal, risk, payment, and operational controls may not be silently bypassed.</w:t>
      </w:r>
    </w:p>
    <w:p>
      <w:pPr>
        <w:pStyle w:val="Heading1"/>
      </w:pPr>
      <w:r>
        <w:t>6. Records</w:t>
      </w:r>
    </w:p>
    <w:p>
      <w:r>
        <w:t>The onboarding package and approvals must be retained as supplier-governance evidence.</w:t>
      </w:r>
    </w:p>
    <w:p>
      <w:r>
        <w:rPr>
          <w:i/>
          <w:sz w:val="16"/>
        </w:rPr>
        <w:t>Controlled synthetic document generated for the Enterprise Knowledge AI System evaluation corpus.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