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CRITICAL DELIVERY SOP</w:t>
      </w:r>
    </w:p>
    <w:p>
      <w:pPr>
        <w:jc w:val="center"/>
      </w:pPr>
      <w:r>
        <w:rPr>
          <w:sz w:val="18"/>
        </w:rPr>
        <w:t>Document ID: DOC-009 | Version: 2.3 | Effective: 2026-01-01 | Status: ACTIVE</w:t>
      </w:r>
    </w:p>
    <w:p>
      <w:pPr>
        <w:pStyle w:val="Heading1"/>
      </w:pPr>
      <w:r>
        <w:t>1. Purpose</w:t>
      </w:r>
    </w:p>
    <w:p>
      <w:r>
        <w:t>Define the operational procedure for identifying, escalating, recovering, and closing critical transportation deliveries.</w:t>
      </w:r>
    </w:p>
    <w:p>
      <w:pPr>
        <w:pStyle w:val="Heading1"/>
      </w:pPr>
      <w:r>
        <w:t>2. Critical-delivery classification</w:t>
      </w:r>
    </w:p>
    <w:p>
      <w:r>
        <w:t>A shipment is critical when at least one condition applies: (a) production or customer operation may stop without the shipment; (b) a contractual customer commitment is at immediate risk; (c) a regulatory or safety-related business deadline is at risk; or (d) the responsible Supply Chain manager formally designates the shipment as critical based on documented business impact.</w:t>
      </w:r>
    </w:p>
    <w:p>
      <w:pPr>
        <w:pStyle w:val="Heading1"/>
      </w:pPr>
      <w:r>
        <w:t>3. Procedure for a delayed critical delivery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Step</w:t>
            </w:r>
          </w:p>
        </w:tc>
        <w:tc>
          <w:tcPr>
            <w:tcW w:type="dxa" w:w="5040"/>
          </w:tcPr>
          <w:p>
            <w:r>
              <w:t>Required action</w:t>
            </w:r>
          </w:p>
        </w:tc>
      </w:tr>
      <w:tr>
        <w:tc>
          <w:tcPr>
            <w:tcW w:type="dxa" w:w="5040"/>
          </w:tcPr>
          <w:p>
            <w:r>
              <w:t>1. Confirm the exception</w:t>
            </w:r>
          </w:p>
        </w:tc>
        <w:tc>
          <w:tcPr>
            <w:tcW w:type="dxa" w:w="5040"/>
          </w:tcPr>
          <w:p>
            <w:r>
              <w:t>Validate shipment identity, route, carrier, committed delivery time, latest physical status, and reason for delay.</w:t>
            </w:r>
          </w:p>
        </w:tc>
      </w:tr>
      <w:tr>
        <w:tc>
          <w:tcPr>
            <w:tcW w:type="dxa" w:w="5040"/>
          </w:tcPr>
          <w:p>
            <w:r>
              <w:t>2. Notify stakeholders</w:t>
            </w:r>
          </w:p>
        </w:tc>
        <w:tc>
          <w:tcPr>
            <w:tcW w:type="dxa" w:w="5040"/>
          </w:tcPr>
          <w:p>
            <w:r>
              <w:t>Notify Transport Planning and the receiving operation immediately after the critical delay is confirmed.</w:t>
            </w:r>
          </w:p>
        </w:tc>
      </w:tr>
      <w:tr>
        <w:tc>
          <w:tcPr>
            <w:tcW w:type="dxa" w:w="5040"/>
          </w:tcPr>
          <w:p>
            <w:r>
              <w:t>3. Escalate to the carrier</w:t>
            </w:r>
          </w:p>
        </w:tc>
        <w:tc>
          <w:tcPr>
            <w:tcW w:type="dxa" w:w="5040"/>
          </w:tcPr>
          <w:p>
            <w:r>
              <w:t>Request a recovery plan and confirmed revised ETA from the carrier. Escalate to the carrier's operational management when the first response is insufficient.</w:t>
            </w:r>
          </w:p>
        </w:tc>
      </w:tr>
      <w:tr>
        <w:tc>
          <w:tcPr>
            <w:tcW w:type="dxa" w:w="5040"/>
          </w:tcPr>
          <w:p>
            <w:r>
              <w:t>4. Assess contingency</w:t>
            </w:r>
          </w:p>
        </w:tc>
        <w:tc>
          <w:tcPr>
            <w:tcW w:type="dxa" w:w="5040"/>
          </w:tcPr>
          <w:p>
            <w:r>
              <w:t>Evaluate alternative vehicle, route, expedited service, transfer point, or replacement carrier when operationally feasible.</w:t>
            </w:r>
          </w:p>
        </w:tc>
      </w:tr>
      <w:tr>
        <w:tc>
          <w:tcPr>
            <w:tcW w:type="dxa" w:w="5040"/>
          </w:tcPr>
          <w:p>
            <w:r>
              <w:t>5. Obtain approval when required</w:t>
            </w:r>
          </w:p>
        </w:tc>
        <w:tc>
          <w:tcPr>
            <w:tcW w:type="dxa" w:w="5040"/>
          </w:tcPr>
          <w:p>
            <w:r>
              <w:t>Any exceptional cost or emergency contracting must follow the Approval Authority Matrix.</w:t>
            </w:r>
          </w:p>
        </w:tc>
      </w:tr>
      <w:tr>
        <w:tc>
          <w:tcPr>
            <w:tcW w:type="dxa" w:w="5040"/>
          </w:tcPr>
          <w:p>
            <w:r>
              <w:t>6. Maintain updates</w:t>
            </w:r>
          </w:p>
        </w:tc>
        <w:tc>
          <w:tcPr>
            <w:tcW w:type="dxa" w:w="5040"/>
          </w:tcPr>
          <w:p>
            <w:r>
              <w:t>Update affected stakeholders at agreed intervals until delivery or formal cancellation.</w:t>
            </w:r>
          </w:p>
        </w:tc>
      </w:tr>
      <w:tr>
        <w:tc>
          <w:tcPr>
            <w:tcW w:type="dxa" w:w="5040"/>
          </w:tcPr>
          <w:p>
            <w:r>
              <w:t>7. Close and document</w:t>
            </w:r>
          </w:p>
        </w:tc>
        <w:tc>
          <w:tcPr>
            <w:tcW w:type="dxa" w:w="5040"/>
          </w:tcPr>
          <w:p>
            <w:r>
              <w:t>Record actual delivery time, impact, root cause, contingency used, cost impact, and follow-up actions.</w:t>
            </w:r>
          </w:p>
        </w:tc>
      </w:tr>
    </w:tbl>
    <w:p>
      <w:pPr>
        <w:pStyle w:val="Heading1"/>
      </w:pPr>
      <w:r>
        <w:t>4. Escalation timing</w:t>
      </w:r>
    </w:p>
    <w:p>
      <w:r>
        <w:t>Critical delays are escalated immediately upon confirmation; they do not wait for the normal weekly carrier-performance review. Repeated carrier SLA failures remain subject to the Carrier Management Policy.</w:t>
      </w:r>
    </w:p>
    <w:p>
      <w:pPr>
        <w:pStyle w:val="Heading1"/>
      </w:pPr>
      <w:r>
        <w:t>5. Closure criteria</w:t>
      </w:r>
    </w:p>
    <w:p>
      <w:r>
        <w:t>The case may be closed only after the shipment outcome and business impact are known, required evidence is recorded, and any corrective action owner has been assigned.</w:t>
      </w:r>
    </w:p>
    <w:p>
      <w:pPr>
        <w:pStyle w:val="Heading1"/>
      </w:pPr>
      <w:r>
        <w:t>6. Related documents</w:t>
      </w:r>
    </w:p>
    <w:p>
      <w:r>
        <w:t>Transportation Policy; Carrier Management Policy; Approval Authority Matrix; applicable carrier contract.</w:t>
      </w:r>
    </w:p>
    <w:p>
      <w:r>
        <w:rPr>
          <w:i/>
          <w:sz w:val="16"/>
        </w:rPr>
        <w:t>Controlled synthetic document generated for the Enterprise Knowledge AI System evaluation corpus.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