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LEGACY DATA SHARING SOP</w:t>
      </w:r>
    </w:p>
    <w:p>
      <w:pPr>
        <w:jc w:val="center"/>
      </w:pPr>
      <w:r>
        <w:rPr>
          <w:sz w:val="18"/>
        </w:rPr>
        <w:t>Document ID: DOC-011 | Version: 1.0 | Effective: 2024-01-01 | Status: SUPERSEDED</w:t>
      </w:r>
    </w:p>
    <w:p>
      <w:pPr>
        <w:pStyle w:val="Heading1"/>
      </w:pPr>
      <w:r>
        <w:t>1. Purpose</w:t>
      </w:r>
    </w:p>
    <w:p>
      <w:r>
        <w:t>Describe the 2024 operational process used by logistics teams to share shipment and customer-delivery information with external operational partners.</w:t>
      </w:r>
    </w:p>
    <w:p>
      <w:pPr>
        <w:pStyle w:val="Heading1"/>
      </w:pPr>
      <w:r>
        <w:t>2. External operational partners</w:t>
      </w:r>
    </w:p>
    <w:p>
      <w:r>
        <w:t>For day-to-day logistics execution, approved transportation partners may receive shipment references, delivery contacts, addresses, and operational instructions required to complete a delivery.</w:t>
      </w:r>
    </w:p>
    <w:p>
      <w:pPr>
        <w:pStyle w:val="Heading1"/>
      </w:pPr>
      <w:r>
        <w:t>3. 2024 email procedure</w:t>
      </w:r>
    </w:p>
    <w:p>
      <w:r>
        <w:t>Under this historical procedure, logistics coordinators were permitted to send required customer-delivery information to an approved carrier contact using corporate email, provided the message was sent from the employee's corporate account and only the minimum operational information was included.</w:t>
      </w:r>
    </w:p>
    <w:p>
      <w:pPr>
        <w:pStyle w:val="Heading1"/>
      </w:pPr>
      <w:r>
        <w:t>4. Record keeping</w:t>
      </w:r>
    </w:p>
    <w:p>
      <w:r>
        <w:t>The sender was expected to retain the email thread when the communication supported a delivery exception, claim, or customer escalation.</w:t>
      </w:r>
    </w:p>
    <w:p>
      <w:pPr>
        <w:pStyle w:val="Heading1"/>
      </w:pPr>
      <w:r>
        <w:t>5. Current status</w:t>
      </w:r>
    </w:p>
    <w:p>
      <w:r>
        <w:t>This SOP is retained for historical reference only. It is superseded and has no current operational authority. Current external data sharing must follow the active Data Sharing Policy and Information Security Policy.</w:t>
      </w:r>
    </w:p>
    <w:p>
      <w:pPr>
        <w:pStyle w:val="Heading1"/>
      </w:pPr>
      <w:r>
        <w:t>6. Governance note</w:t>
      </w:r>
    </w:p>
    <w:p>
      <w:r>
        <w:t>Where this historical SOP conflicts with an active corporate policy, the active corporate policy prevails under the Document Governance Policy.</w:t>
      </w:r>
    </w:p>
    <w:p>
      <w:r>
        <w:rPr>
          <w:i/>
          <w:sz w:val="16"/>
        </w:rPr>
        <w:t>Controlled synthetic document generated for the Enterprise Knowledge AI System evaluation corpus.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