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OPERATIONS COMMITTEE MINUTES - 2025</w:t>
      </w:r>
    </w:p>
    <w:p>
      <w:pPr>
        <w:jc w:val="center"/>
      </w:pPr>
      <w:r>
        <w:rPr>
          <w:sz w:val="18"/>
        </w:rPr>
        <w:t>Document ID: DOC-019 | Governance Record | Historical</w:t>
      </w:r>
    </w:p>
    <w:p>
      <w:r>
        <w:rPr>
          <w:b/>
        </w:rPr>
        <w:t xml:space="preserve">Meeting date: </w:t>
      </w:r>
      <w:r>
        <w:t>18 September 2025</w:t>
      </w:r>
    </w:p>
    <w:p>
      <w:r>
        <w:rPr>
          <w:b/>
        </w:rPr>
        <w:t xml:space="preserve">Meeting type: </w:t>
      </w:r>
      <w:r>
        <w:t>Quarterly Operations Committee</w:t>
      </w:r>
    </w:p>
    <w:p>
      <w:r>
        <w:rPr>
          <w:b/>
        </w:rPr>
        <w:t xml:space="preserve">Chair: </w:t>
      </w:r>
      <w:r>
        <w:t>Chief Operations Officer</w:t>
      </w:r>
    </w:p>
    <w:p>
      <w:r>
        <w:rPr>
          <w:b/>
        </w:rPr>
        <w:t xml:space="preserve">Participants: </w:t>
      </w:r>
      <w:r>
        <w:t>Supply Chain Director; Logistics Manager; Procurement Manager; Finance Business Partner; Information Security Representative</w:t>
      </w:r>
    </w:p>
    <w:p>
      <w:pPr>
        <w:pStyle w:val="Heading1"/>
      </w:pPr>
      <w:r>
        <w:t>1. Purpose of meeting</w:t>
      </w:r>
    </w:p>
    <w:p>
      <w:r>
        <w:t>Review national transportation performance, approve 2026 service-level targets, and record required policy updates before the next operating year.</w:t>
      </w:r>
    </w:p>
    <w:p>
      <w:pPr>
        <w:pStyle w:val="Heading1"/>
      </w:pPr>
      <w:r>
        <w:t>2. Transportation performance review</w:t>
      </w:r>
    </w:p>
    <w:p>
      <w:r>
        <w:t>The committee reviewed the national OTIF target of 95% in force under Transportation Policy v2.0. The target had been used throughout the 2024-2025 policy period.</w:t>
      </w:r>
    </w:p>
    <w:p>
      <w:r>
        <w:t>The committee concluded that the 2026 operating model should use a higher service expectation and tighter standard and express delivery windows. This is a controlled synthetic governance decision created to support historical retrieval and version-resolution testing.</w:t>
      </w:r>
    </w:p>
    <w:p>
      <w:pPr>
        <w:pStyle w:val="Heading1"/>
      </w:pPr>
      <w:r>
        <w:t>3.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Decision</w:t>
            </w:r>
          </w:p>
        </w:tc>
        <w:tc>
          <w:tcPr>
            <w:tcW w:type="dxa" w:w="2520"/>
          </w:tcPr>
          <w:p>
            <w:r>
              <w:t>Approved change</w:t>
            </w:r>
          </w:p>
        </w:tc>
        <w:tc>
          <w:tcPr>
            <w:tcW w:type="dxa" w:w="2520"/>
          </w:tcPr>
          <w:p>
            <w:r>
              <w:t>Effective date</w:t>
            </w:r>
          </w:p>
        </w:tc>
        <w:tc>
          <w:tcPr>
            <w:tcW w:type="dxa" w:w="2520"/>
          </w:tcPr>
          <w:p>
            <w:r>
              <w:t>Owner</w:t>
            </w:r>
          </w:p>
        </w:tc>
      </w:tr>
      <w:tr>
        <w:tc>
          <w:tcPr>
            <w:tcW w:type="dxa" w:w="2520"/>
          </w:tcPr>
          <w:p>
            <w:r>
              <w:t>DEC-2025-17</w:t>
            </w:r>
          </w:p>
        </w:tc>
        <w:tc>
          <w:tcPr>
            <w:tcW w:type="dxa" w:w="2520"/>
          </w:tcPr>
          <w:p>
            <w:r>
              <w:t>Increase national OTIF target from 95% to 97%.</w:t>
            </w:r>
          </w:p>
        </w:tc>
        <w:tc>
          <w:tcPr>
            <w:tcW w:type="dxa" w:w="2520"/>
          </w:tcPr>
          <w:p>
            <w:r>
              <w:t>2026-01-01</w:t>
            </w:r>
          </w:p>
        </w:tc>
        <w:tc>
          <w:tcPr>
            <w:tcW w:type="dxa" w:w="2520"/>
          </w:tcPr>
          <w:p>
            <w:r>
              <w:t>Supply Chain Director</w:t>
            </w:r>
          </w:p>
        </w:tc>
      </w:tr>
      <w:tr>
        <w:tc>
          <w:tcPr>
            <w:tcW w:type="dxa" w:w="2520"/>
          </w:tcPr>
          <w:p>
            <w:r>
              <w:t>DEC-2025-18</w:t>
            </w:r>
          </w:p>
        </w:tc>
        <w:tc>
          <w:tcPr>
            <w:tcW w:type="dxa" w:w="2520"/>
          </w:tcPr>
          <w:p>
            <w:r>
              <w:t>Reduce Standard delivery SLA from 4 to 3 business days.</w:t>
            </w:r>
          </w:p>
        </w:tc>
        <w:tc>
          <w:tcPr>
            <w:tcW w:type="dxa" w:w="2520"/>
          </w:tcPr>
          <w:p>
            <w:r>
              <w:t>2026-01-01</w:t>
            </w:r>
          </w:p>
        </w:tc>
        <w:tc>
          <w:tcPr>
            <w:tcW w:type="dxa" w:w="2520"/>
          </w:tcPr>
          <w:p>
            <w:r>
              <w:t>Logistics Manager</w:t>
            </w:r>
          </w:p>
        </w:tc>
      </w:tr>
      <w:tr>
        <w:tc>
          <w:tcPr>
            <w:tcW w:type="dxa" w:w="2520"/>
          </w:tcPr>
          <w:p>
            <w:r>
              <w:t>DEC-2025-19</w:t>
            </w:r>
          </w:p>
        </w:tc>
        <w:tc>
          <w:tcPr>
            <w:tcW w:type="dxa" w:w="2520"/>
          </w:tcPr>
          <w:p>
            <w:r>
              <w:t>Reduce Express delivery SLA from 2 to 1 business day.</w:t>
            </w:r>
          </w:p>
        </w:tc>
        <w:tc>
          <w:tcPr>
            <w:tcW w:type="dxa" w:w="2520"/>
          </w:tcPr>
          <w:p>
            <w:r>
              <w:t>2026-01-01</w:t>
            </w:r>
          </w:p>
        </w:tc>
        <w:tc>
          <w:tcPr>
            <w:tcW w:type="dxa" w:w="2520"/>
          </w:tcPr>
          <w:p>
            <w:r>
              <w:t>Logistics Manager</w:t>
            </w:r>
          </w:p>
        </w:tc>
      </w:tr>
      <w:tr>
        <w:tc>
          <w:tcPr>
            <w:tcW w:type="dxa" w:w="2520"/>
          </w:tcPr>
          <w:p>
            <w:r>
              <w:t>DEC-2025-20</w:t>
            </w:r>
          </w:p>
        </w:tc>
        <w:tc>
          <w:tcPr>
            <w:tcW w:type="dxa" w:w="2520"/>
          </w:tcPr>
          <w:p>
            <w:r>
              <w:t>Clarify critical-delivery classification and require explicit linkage to the Critical Delivery SOP.</w:t>
            </w:r>
          </w:p>
        </w:tc>
        <w:tc>
          <w:tcPr>
            <w:tcW w:type="dxa" w:w="2520"/>
          </w:tcPr>
          <w:p>
            <w:r>
              <w:t>2026-01-01</w:t>
            </w:r>
          </w:p>
        </w:tc>
        <w:tc>
          <w:tcPr>
            <w:tcW w:type="dxa" w:w="2520"/>
          </w:tcPr>
          <w:p>
            <w:r>
              <w:t>Supply Chain Director</w:t>
            </w:r>
          </w:p>
        </w:tc>
      </w:tr>
    </w:tbl>
    <w:p>
      <w:pPr>
        <w:pStyle w:val="Heading1"/>
      </w:pPr>
      <w:r>
        <w:t>4. Required document updates</w:t>
      </w:r>
    </w:p>
    <w:p>
      <w:r>
        <w:t>Transportation Policy v3.0 must be issued before 1 January 2026 and must supersede Transportation Policy v2.0. The new policy must reflect the approved 97% OTIF target and the revised Standard and Express service levels.</w:t>
      </w:r>
    </w:p>
    <w:p>
      <w:r>
        <w:t>The Logistics KPI Dictionary remains the authoritative reference for the detailed OTIF calculation method. The Critical Delivery SOP remains the authoritative operational procedure for delayed critical shipments.</w:t>
      </w:r>
    </w:p>
    <w:p>
      <w:pPr>
        <w:pStyle w:val="Heading1"/>
      </w:pPr>
      <w:r>
        <w:t>5. Historical interpretation</w:t>
      </w:r>
    </w:p>
    <w:p>
      <w:r>
        <w:t>Until 31 December 2025, the 95% OTIF target and the service levels in Transportation Policy v2.0 remain applicable. From 1 January 2026, Transportation Policy v3.0 becomes the active policy. These minutes record the approval decision but do not replace the policy itself.</w:t>
      </w:r>
    </w:p>
    <w:p>
      <w:pPr>
        <w:pStyle w:val="Heading1"/>
      </w:pPr>
      <w:r>
        <w:t>6. Close</w:t>
      </w:r>
    </w:p>
    <w:p>
      <w:r>
        <w:t>The committee approved the decisions above. Policy owners were instructed to complete controlled-document updates before the effective date.</w:t>
      </w:r>
    </w:p>
    <w:p>
      <w:r>
        <w:rPr>
          <w:i/>
          <w:sz w:val="16"/>
        </w:rPr>
        <w:t>Controlled synthetic document generated for the Enterprise Knowledge AI System evaluation corpus.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