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SECURITY INCIDENT SOP</w:t>
      </w:r>
    </w:p>
    <w:p>
      <w:pPr>
        <w:jc w:val="center"/>
      </w:pPr>
      <w:r>
        <w:rPr>
          <w:sz w:val="18"/>
        </w:rPr>
        <w:t>Document ID: DOC-010 | Version: 2.0 | Effective: 2026-01-01 | Status: ACTIVE</w:t>
      </w:r>
    </w:p>
    <w:p>
      <w:pPr>
        <w:pStyle w:val="Heading1"/>
      </w:pPr>
      <w:r>
        <w:t>1. Purpose</w:t>
      </w:r>
    </w:p>
    <w:p>
      <w:r>
        <w:t>Define the immediate response and escalation process for suspected or confirmed information-security incidents, including accidental disclosure to suppliers.</w:t>
      </w:r>
    </w:p>
    <w:p>
      <w:pPr>
        <w:pStyle w:val="Heading1"/>
      </w:pPr>
      <w:r>
        <w:t>2. Trigger</w:t>
      </w:r>
    </w:p>
    <w:p>
      <w:r>
        <w:t>Use this SOP when confidential or restricted information may have been sent to an unauthorized recipient, transmitted through an unapproved channel, exposed through an approved system, or otherwise handled contrary to policy.</w:t>
      </w:r>
    </w:p>
    <w:p>
      <w:pPr>
        <w:pStyle w:val="Heading1"/>
      </w:pPr>
      <w:r>
        <w:t>3. Immediate actions</w:t>
      </w:r>
    </w:p>
    <w:p>
      <w:pPr>
        <w:pStyle w:val="ListNumber"/>
      </w:pPr>
      <w:r>
        <w:t>Stop further disclosure where feasible without destroying evidence.</w:t>
      </w:r>
    </w:p>
    <w:p>
      <w:pPr>
        <w:pStyle w:val="ListNumber"/>
      </w:pPr>
      <w:r>
        <w:t>Notify the Information Security incident channel immediately.</w:t>
      </w:r>
    </w:p>
    <w:p>
      <w:pPr>
        <w:pStyle w:val="ListNumber"/>
      </w:pPr>
      <w:r>
        <w:t>Record what information was involved, recipient, transmission method, time, and known scope.</w:t>
      </w:r>
    </w:p>
    <w:p>
      <w:pPr>
        <w:pStyle w:val="ListNumber"/>
      </w:pPr>
      <w:r>
        <w:t>Do not instruct the external recipient to delete evidence before Information Security provides direction.</w:t>
      </w:r>
    </w:p>
    <w:p>
      <w:pPr>
        <w:pStyle w:val="ListNumber"/>
      </w:pPr>
      <w:r>
        <w:t>Preserve relevant messages, logs, files, and screenshots.</w:t>
      </w:r>
    </w:p>
    <w:p>
      <w:pPr>
        <w:pStyle w:val="ListNumber"/>
      </w:pPr>
      <w:r>
        <w:t>Follow containment, notification, and remediation instructions issued by the incident owner.</w:t>
      </w:r>
    </w:p>
    <w:p>
      <w:pPr>
        <w:pStyle w:val="Heading1"/>
      </w:pPr>
      <w:r>
        <w:t>4. Supplier disclosure</w:t>
      </w:r>
    </w:p>
    <w:p>
      <w:r>
        <w:t>If confidential data was accidentally sent to a supplier or carrier, the employee must report the incident immediately. Information Security coordinates containment and determines whether Procurement, Legal, Privacy, the business owner, or the supplier must take additional action.</w:t>
      </w:r>
    </w:p>
    <w:p>
      <w:pPr>
        <w:pStyle w:val="Heading1"/>
      </w:pPr>
      <w:r>
        <w:t>5. Closure</w:t>
      </w:r>
    </w:p>
    <w:p>
      <w:r>
        <w:t>An incident is closed only after the responsible incident owner records containment, impact assessment, required notifications, remediation, and follow-up actions.</w:t>
      </w:r>
    </w:p>
    <w:p>
      <w:pPr>
        <w:pStyle w:val="Heading1"/>
      </w:pPr>
      <w:r>
        <w:t>6. Related documents</w:t>
      </w:r>
    </w:p>
    <w:p>
      <w:r>
        <w:t>Information Security Policy; Data Sharing Policy; applicable supplier agreement.</w:t>
      </w:r>
    </w:p>
    <w:p>
      <w:r>
        <w:rPr>
          <w:i/>
          <w:sz w:val="16"/>
        </w:rPr>
        <w:t>Controlled synthetic document generated for the Enterprise Knowledge AI System evaluation corpus.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