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3118"/>
        <w:gridCol w:w="3686"/>
        <w:gridCol w:w="4537"/>
      </w:tblGrid>
      <w:tr w:rsidR="009539F2" w:rsidRPr="008A7D76" w14:paraId="5A90D10E" w14:textId="77777777" w:rsidTr="00846C80">
        <w:trPr>
          <w:cantSplit/>
        </w:trPr>
        <w:tc>
          <w:tcPr>
            <w:tcW w:w="3118" w:type="dxa"/>
          </w:tcPr>
          <w:p w14:paraId="7607C996" w14:textId="77777777" w:rsidR="009539F2" w:rsidRPr="008A7D76" w:rsidRDefault="009539F2" w:rsidP="00FB086D">
            <w:pPr>
              <w:pStyle w:val="a6"/>
              <w:jc w:val="center"/>
              <w:rPr>
                <w:rFonts w:ascii="David" w:hAnsi="David"/>
                <w:b/>
                <w:bCs/>
                <w:sz w:val="24"/>
                <w:rtl/>
              </w:rPr>
            </w:pPr>
          </w:p>
        </w:tc>
        <w:tc>
          <w:tcPr>
            <w:tcW w:w="3686" w:type="dxa"/>
          </w:tcPr>
          <w:p w14:paraId="23CD66F8" w14:textId="77777777" w:rsidR="009539F2" w:rsidRPr="008A7D76" w:rsidRDefault="009539F2" w:rsidP="00FB086D">
            <w:pPr>
              <w:pStyle w:val="a6"/>
              <w:jc w:val="center"/>
              <w:rPr>
                <w:rFonts w:ascii="David" w:hAnsi="David"/>
                <w:b/>
                <w:bCs/>
                <w:sz w:val="24"/>
                <w:rtl/>
              </w:rPr>
            </w:pPr>
          </w:p>
        </w:tc>
        <w:tc>
          <w:tcPr>
            <w:tcW w:w="4537" w:type="dxa"/>
          </w:tcPr>
          <w:p w14:paraId="19F40C17" w14:textId="77777777" w:rsidR="009539F2" w:rsidRDefault="009539F2" w:rsidP="00FB086D">
            <w:pPr>
              <w:rPr>
                <w:rFonts w:ascii="David" w:hAnsi="David"/>
                <w:b/>
                <w:bCs/>
                <w:noProof/>
                <w:sz w:val="24"/>
                <w:rtl/>
              </w:rPr>
            </w:pPr>
            <w:r>
              <w:rPr>
                <w:rFonts w:ascii="David" w:hAnsi="David" w:hint="cs"/>
                <w:b/>
                <w:bCs/>
                <w:sz w:val="24"/>
                <w:rtl/>
              </w:rPr>
              <w:t>ל</w:t>
            </w:r>
            <w:r w:rsidRPr="008A7D76">
              <w:rPr>
                <w:rFonts w:ascii="David" w:hAnsi="David" w:hint="cs"/>
                <w:b/>
                <w:bCs/>
                <w:sz w:val="24"/>
                <w:rtl/>
              </w:rPr>
              <w:t xml:space="preserve">פני כבוד </w:t>
            </w:r>
            <w:r>
              <w:rPr>
                <w:rFonts w:ascii="David" w:hAnsi="David" w:hint="cs"/>
                <w:b/>
                <w:bCs/>
                <w:sz w:val="24"/>
                <w:rtl/>
              </w:rPr>
              <w:t>ה</w:t>
            </w:r>
            <w:r>
              <w:rPr>
                <w:rFonts w:ascii="David" w:hAnsi="David"/>
                <w:b/>
                <w:bCs/>
                <w:noProof/>
                <w:sz w:val="24"/>
                <w:rtl/>
              </w:rPr>
              <w:t>מפקח על רישום מקרקעין</w:t>
            </w:r>
            <w:r>
              <w:t xml:space="preserve"> </w:t>
            </w:r>
          </w:p>
          <w:p w14:paraId="42809995" w14:textId="77777777" w:rsidR="009539F2" w:rsidRPr="008A7D76" w:rsidRDefault="009539F2" w:rsidP="00FB086D">
            <w:pPr>
              <w:rPr>
                <w:rFonts w:ascii="David" w:hAnsi="David"/>
                <w:sz w:val="24"/>
                <w:rtl/>
              </w:rPr>
            </w:pPr>
            <w:r>
              <w:rPr>
                <w:rFonts w:ascii="David" w:hAnsi="David"/>
                <w:b/>
                <w:bCs/>
                <w:noProof/>
                <w:sz w:val="24"/>
                <w:rtl/>
              </w:rPr>
              <w:t>ברק ליפשיץ</w:t>
            </w:r>
          </w:p>
        </w:tc>
      </w:tr>
    </w:tbl>
    <w:p w14:paraId="00B0DD75" w14:textId="77777777" w:rsidR="009539F2" w:rsidRPr="00107339" w:rsidRDefault="009539F2" w:rsidP="006154A7">
      <w:pPr>
        <w:spacing w:after="200" w:line="276" w:lineRule="auto"/>
        <w:contextualSpacing w:val="0"/>
        <w:rPr>
          <w:b/>
          <w:bCs/>
          <w:color w:val="FF0000"/>
          <w:sz w:val="32"/>
          <w:szCs w:val="32"/>
          <w:rtl/>
        </w:rPr>
      </w:pPr>
    </w:p>
    <w:tbl>
      <w:tblPr>
        <w:tblStyle w:val="TableGrid1"/>
        <w:bidiVisual/>
        <w:tblW w:w="590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63"/>
        <w:gridCol w:w="1810"/>
        <w:gridCol w:w="754"/>
        <w:gridCol w:w="6185"/>
      </w:tblGrid>
      <w:tr w:rsidR="009539F2" w14:paraId="7A6AFFD4" w14:textId="77777777" w:rsidTr="006154A7">
        <w:tc>
          <w:tcPr>
            <w:tcW w:w="916" w:type="pct"/>
          </w:tcPr>
          <w:p w14:paraId="1C2C7D0A" w14:textId="77777777" w:rsidR="009539F2" w:rsidRDefault="009539F2" w:rsidP="00FB086D">
            <w:pPr>
              <w:spacing w:before="100" w:beforeAutospacing="1" w:after="100" w:afterAutospacing="1" w:line="276" w:lineRule="auto"/>
              <w:rPr>
                <w:rFonts w:ascii="David" w:hAnsi="David"/>
                <w:sz w:val="24"/>
                <w:rtl/>
              </w:rPr>
            </w:pPr>
            <w:r>
              <w:rPr>
                <w:rFonts w:ascii="David" w:hAnsi="David" w:hint="cs"/>
                <w:sz w:val="24"/>
                <w:rtl/>
              </w:rPr>
              <w:t>ה</w:t>
            </w:r>
            <w:r>
              <w:rPr>
                <w:rFonts w:ascii="David" w:hAnsi="David"/>
                <w:sz w:val="24"/>
                <w:rtl/>
              </w:rPr>
              <w:t>תובע</w:t>
            </w:r>
            <w:r>
              <w:rPr>
                <w:rFonts w:ascii="David" w:hAnsi="David" w:hint="cs"/>
                <w:sz w:val="24"/>
                <w:rtl/>
              </w:rPr>
              <w:t>ת:</w:t>
            </w:r>
          </w:p>
        </w:tc>
        <w:tc>
          <w:tcPr>
            <w:tcW w:w="845" w:type="pct"/>
          </w:tcPr>
          <w:p w14:paraId="71C5B090" w14:textId="77777777" w:rsidR="009539F2" w:rsidRDefault="009539F2" w:rsidP="00FB086D">
            <w:pPr>
              <w:spacing w:before="100" w:beforeAutospacing="1" w:after="100" w:afterAutospacing="1"/>
              <w:rPr>
                <w:rFonts w:ascii="David" w:hAnsi="David"/>
                <w:sz w:val="24"/>
              </w:rPr>
            </w:pPr>
          </w:p>
        </w:tc>
        <w:tc>
          <w:tcPr>
            <w:tcW w:w="352" w:type="pct"/>
          </w:tcPr>
          <w:p w14:paraId="4813780A" w14:textId="77777777" w:rsidR="009539F2" w:rsidRDefault="009539F2" w:rsidP="00FB086D">
            <w:pPr>
              <w:spacing w:before="100" w:beforeAutospacing="1" w:after="100" w:afterAutospacing="1"/>
              <w:rPr>
                <w:rFonts w:ascii="David" w:hAnsi="David"/>
                <w:sz w:val="24"/>
              </w:rPr>
            </w:pPr>
          </w:p>
        </w:tc>
        <w:tc>
          <w:tcPr>
            <w:tcW w:w="2887" w:type="pct"/>
          </w:tcPr>
          <w:p w14:paraId="2DF0F346" w14:textId="77777777" w:rsidR="009539F2" w:rsidRDefault="009539F2" w:rsidP="00FB086D">
            <w:pPr>
              <w:spacing w:before="100" w:beforeAutospacing="1" w:after="100" w:afterAutospacing="1" w:line="276" w:lineRule="auto"/>
              <w:rPr>
                <w:rFonts w:ascii="David" w:hAnsi="David"/>
                <w:sz w:val="24"/>
                <w:rtl/>
              </w:rPr>
            </w:pPr>
            <w:r>
              <w:rPr>
                <w:rFonts w:ascii="David" w:hAnsi="David"/>
                <w:sz w:val="24"/>
                <w:rtl/>
              </w:rPr>
              <w:t xml:space="preserve">נציגות הבית המשותף רמב"ם 64, ראשון לציון </w:t>
            </w:r>
          </w:p>
          <w:p w14:paraId="0FB17D87" w14:textId="77777777" w:rsidR="009539F2" w:rsidRDefault="009539F2" w:rsidP="00FB086D">
            <w:pPr>
              <w:spacing w:before="100" w:beforeAutospacing="1" w:after="100" w:afterAutospacing="1" w:line="276" w:lineRule="auto"/>
              <w:rPr>
                <w:rFonts w:ascii="David" w:hAnsi="David"/>
                <w:sz w:val="24"/>
                <w:rtl/>
              </w:rPr>
            </w:pPr>
            <w:r>
              <w:rPr>
                <w:rFonts w:ascii="David" w:hAnsi="David"/>
                <w:sz w:val="24"/>
                <w:rtl/>
              </w:rPr>
              <w:t xml:space="preserve">ע"י זיווה </w:t>
            </w:r>
            <w:proofErr w:type="spellStart"/>
            <w:r>
              <w:rPr>
                <w:rFonts w:ascii="David" w:hAnsi="David"/>
                <w:sz w:val="24"/>
                <w:rtl/>
              </w:rPr>
              <w:t>קיומוב</w:t>
            </w:r>
            <w:proofErr w:type="spellEnd"/>
            <w:r>
              <w:rPr>
                <w:rFonts w:ascii="David" w:hAnsi="David"/>
                <w:sz w:val="24"/>
                <w:rtl/>
              </w:rPr>
              <w:t xml:space="preserve"> ת.ז. 016559346, </w:t>
            </w:r>
          </w:p>
          <w:p w14:paraId="27296741" w14:textId="77777777" w:rsidR="009539F2" w:rsidRDefault="009539F2" w:rsidP="00FB086D">
            <w:pPr>
              <w:spacing w:before="100" w:beforeAutospacing="1" w:after="100" w:afterAutospacing="1" w:line="276" w:lineRule="auto"/>
              <w:rPr>
                <w:rFonts w:ascii="David" w:hAnsi="David"/>
                <w:sz w:val="24"/>
                <w:rtl/>
              </w:rPr>
            </w:pPr>
            <w:r>
              <w:rPr>
                <w:rFonts w:ascii="David" w:hAnsi="David"/>
                <w:sz w:val="24"/>
                <w:rtl/>
              </w:rPr>
              <w:t xml:space="preserve">זינובי </w:t>
            </w:r>
            <w:proofErr w:type="spellStart"/>
            <w:r>
              <w:rPr>
                <w:rFonts w:ascii="David" w:hAnsi="David"/>
                <w:sz w:val="24"/>
                <w:rtl/>
              </w:rPr>
              <w:t>רויטמן</w:t>
            </w:r>
            <w:proofErr w:type="spellEnd"/>
            <w:r>
              <w:rPr>
                <w:rFonts w:ascii="David" w:hAnsi="David"/>
                <w:sz w:val="24"/>
                <w:rtl/>
              </w:rPr>
              <w:t xml:space="preserve"> , ת.ז. 304485386.</w:t>
            </w:r>
            <w:r>
              <w:br/>
            </w:r>
            <w:r>
              <w:br/>
            </w:r>
            <w:r>
              <w:rPr>
                <w:rFonts w:ascii="David" w:hAnsi="David"/>
                <w:sz w:val="24"/>
                <w:rtl/>
              </w:rPr>
              <w:t xml:space="preserve">באמצעות ב"כ: </w:t>
            </w:r>
            <w:proofErr w:type="spellStart"/>
            <w:r>
              <w:rPr>
                <w:rFonts w:ascii="David" w:hAnsi="David"/>
                <w:sz w:val="24"/>
                <w:rtl/>
              </w:rPr>
              <w:t>קיומוב</w:t>
            </w:r>
            <w:proofErr w:type="spellEnd"/>
            <w:r>
              <w:rPr>
                <w:rFonts w:ascii="David" w:hAnsi="David"/>
                <w:sz w:val="24"/>
                <w:rtl/>
              </w:rPr>
              <w:t xml:space="preserve"> זיווה</w:t>
            </w:r>
            <w:r>
              <w:br/>
            </w:r>
            <w:r>
              <w:rPr>
                <w:rFonts w:ascii="David" w:hAnsi="David"/>
                <w:sz w:val="24"/>
                <w:rtl/>
              </w:rPr>
              <w:t>רמב"ם 64, ראשון לציון</w:t>
            </w:r>
            <w:r>
              <w:br/>
            </w:r>
            <w:r>
              <w:rPr>
                <w:rFonts w:ascii="David" w:hAnsi="David"/>
                <w:sz w:val="24"/>
                <w:rtl/>
              </w:rPr>
              <w:t xml:space="preserve">טל':054-6843552 , </w:t>
            </w:r>
            <w:r>
              <w:br/>
            </w:r>
            <w:r>
              <w:rPr>
                <w:rFonts w:ascii="David" w:hAnsi="David"/>
                <w:sz w:val="24"/>
                <w:rtl/>
              </w:rPr>
              <w:t>עו"ד בן-דוד תומר</w:t>
            </w:r>
            <w:r>
              <w:br/>
            </w:r>
            <w:r>
              <w:rPr>
                <w:rFonts w:ascii="David" w:hAnsi="David"/>
                <w:sz w:val="24"/>
                <w:rtl/>
              </w:rPr>
              <w:t>דרך הנפת הדגל 9, נס ציונה</w:t>
            </w:r>
            <w:r>
              <w:br/>
            </w:r>
            <w:r>
              <w:rPr>
                <w:rFonts w:ascii="David" w:hAnsi="David"/>
                <w:sz w:val="24"/>
                <w:rtl/>
              </w:rPr>
              <w:t>טל':052-848-7444 פקס:0774016454</w:t>
            </w:r>
            <w:r>
              <w:br/>
            </w:r>
          </w:p>
        </w:tc>
      </w:tr>
      <w:tr w:rsidR="009539F2" w14:paraId="72ACDEA2" w14:textId="77777777" w:rsidTr="006154A7">
        <w:tc>
          <w:tcPr>
            <w:tcW w:w="916" w:type="pct"/>
          </w:tcPr>
          <w:p w14:paraId="75E55256" w14:textId="77777777" w:rsidR="009539F2" w:rsidRDefault="009539F2" w:rsidP="00FB086D">
            <w:pPr>
              <w:spacing w:before="100" w:beforeAutospacing="1" w:after="100" w:afterAutospacing="1" w:line="276" w:lineRule="auto"/>
              <w:rPr>
                <w:rFonts w:ascii="David" w:hAnsi="David"/>
                <w:sz w:val="24"/>
                <w:rtl/>
              </w:rPr>
            </w:pPr>
          </w:p>
        </w:tc>
        <w:tc>
          <w:tcPr>
            <w:tcW w:w="845" w:type="pct"/>
          </w:tcPr>
          <w:p w14:paraId="7994A3DA" w14:textId="77777777" w:rsidR="009539F2" w:rsidRDefault="009539F2" w:rsidP="00FB086D">
            <w:pPr>
              <w:spacing w:before="100" w:beforeAutospacing="1" w:after="100" w:afterAutospacing="1"/>
              <w:rPr>
                <w:rFonts w:ascii="David" w:hAnsi="David"/>
                <w:sz w:val="24"/>
              </w:rPr>
            </w:pPr>
          </w:p>
        </w:tc>
        <w:tc>
          <w:tcPr>
            <w:tcW w:w="352" w:type="pct"/>
          </w:tcPr>
          <w:p w14:paraId="565ED0B7" w14:textId="77777777" w:rsidR="009539F2" w:rsidRDefault="009539F2" w:rsidP="00FB086D">
            <w:pPr>
              <w:spacing w:before="100" w:beforeAutospacing="1" w:after="100" w:afterAutospacing="1"/>
              <w:rPr>
                <w:rFonts w:ascii="David" w:hAnsi="David"/>
                <w:sz w:val="24"/>
              </w:rPr>
            </w:pPr>
            <w:r>
              <w:rPr>
                <w:rFonts w:ascii="David" w:hAnsi="David"/>
                <w:b/>
                <w:bCs/>
                <w:sz w:val="24"/>
                <w:rtl/>
              </w:rPr>
              <w:t>נגד</w:t>
            </w:r>
            <w:r>
              <w:br/>
            </w:r>
          </w:p>
        </w:tc>
        <w:tc>
          <w:tcPr>
            <w:tcW w:w="2887" w:type="pct"/>
          </w:tcPr>
          <w:p w14:paraId="0E79D353" w14:textId="77777777" w:rsidR="009539F2" w:rsidRDefault="009539F2" w:rsidP="00FB086D">
            <w:pPr>
              <w:spacing w:before="100" w:beforeAutospacing="1" w:after="100" w:afterAutospacing="1" w:line="276" w:lineRule="auto"/>
              <w:rPr>
                <w:rFonts w:ascii="David" w:hAnsi="David"/>
                <w:sz w:val="24"/>
                <w:rtl/>
              </w:rPr>
            </w:pPr>
          </w:p>
        </w:tc>
      </w:tr>
      <w:tr w:rsidR="009539F2" w14:paraId="7ACA4A2A" w14:textId="77777777" w:rsidTr="006154A7">
        <w:tc>
          <w:tcPr>
            <w:tcW w:w="916" w:type="pct"/>
          </w:tcPr>
          <w:p w14:paraId="6CE5D1A1" w14:textId="77777777" w:rsidR="009539F2" w:rsidRDefault="009539F2" w:rsidP="00FB086D">
            <w:pPr>
              <w:spacing w:before="100" w:beforeAutospacing="1" w:after="100" w:afterAutospacing="1" w:line="276" w:lineRule="auto"/>
              <w:rPr>
                <w:rFonts w:ascii="David" w:hAnsi="David"/>
                <w:sz w:val="24"/>
                <w:rtl/>
              </w:rPr>
            </w:pPr>
            <w:r>
              <w:rPr>
                <w:rFonts w:ascii="David" w:hAnsi="David" w:hint="cs"/>
                <w:sz w:val="24"/>
                <w:rtl/>
              </w:rPr>
              <w:t>ה</w:t>
            </w:r>
            <w:r>
              <w:rPr>
                <w:rFonts w:ascii="David" w:hAnsi="David"/>
                <w:sz w:val="24"/>
                <w:rtl/>
              </w:rPr>
              <w:t>נתבעים</w:t>
            </w:r>
            <w:r>
              <w:rPr>
                <w:rFonts w:ascii="David" w:hAnsi="David" w:hint="cs"/>
                <w:sz w:val="24"/>
                <w:rtl/>
              </w:rPr>
              <w:t>:</w:t>
            </w:r>
          </w:p>
        </w:tc>
        <w:tc>
          <w:tcPr>
            <w:tcW w:w="845" w:type="pct"/>
          </w:tcPr>
          <w:p w14:paraId="47A7F32A" w14:textId="77777777" w:rsidR="009539F2" w:rsidRDefault="009539F2" w:rsidP="00FB086D">
            <w:pPr>
              <w:spacing w:before="100" w:beforeAutospacing="1" w:after="100" w:afterAutospacing="1"/>
              <w:rPr>
                <w:rFonts w:ascii="David" w:hAnsi="David"/>
                <w:sz w:val="24"/>
              </w:rPr>
            </w:pPr>
          </w:p>
        </w:tc>
        <w:tc>
          <w:tcPr>
            <w:tcW w:w="352" w:type="pct"/>
          </w:tcPr>
          <w:p w14:paraId="11287ED5" w14:textId="77777777" w:rsidR="009539F2" w:rsidRDefault="009539F2" w:rsidP="00FB086D">
            <w:pPr>
              <w:spacing w:before="100" w:beforeAutospacing="1" w:after="100" w:afterAutospacing="1"/>
              <w:rPr>
                <w:rFonts w:ascii="David" w:hAnsi="David"/>
                <w:sz w:val="24"/>
              </w:rPr>
            </w:pPr>
            <w:r>
              <w:rPr>
                <w:rFonts w:ascii="David" w:hAnsi="David"/>
                <w:sz w:val="24"/>
                <w:rtl/>
              </w:rPr>
              <w:t>1</w:t>
            </w:r>
          </w:p>
        </w:tc>
        <w:tc>
          <w:tcPr>
            <w:tcW w:w="2887" w:type="pct"/>
          </w:tcPr>
          <w:p w14:paraId="59966C6C" w14:textId="77777777" w:rsidR="009539F2" w:rsidRDefault="009539F2" w:rsidP="00FB086D">
            <w:pPr>
              <w:spacing w:before="100" w:beforeAutospacing="1" w:after="100" w:afterAutospacing="1" w:line="276" w:lineRule="auto"/>
              <w:rPr>
                <w:rFonts w:ascii="David" w:hAnsi="David"/>
                <w:sz w:val="24"/>
                <w:rtl/>
              </w:rPr>
            </w:pPr>
            <w:r>
              <w:rPr>
                <w:rFonts w:ascii="David" w:hAnsi="David"/>
                <w:sz w:val="24"/>
                <w:rtl/>
              </w:rPr>
              <w:t>צוף יצחק</w:t>
            </w:r>
            <w:r>
              <w:rPr>
                <w:rFonts w:ascii="David" w:hAnsi="David" w:hint="cs"/>
                <w:sz w:val="24"/>
                <w:rtl/>
              </w:rPr>
              <w:t xml:space="preserve"> ז"ל</w:t>
            </w:r>
            <w:r>
              <w:rPr>
                <w:rFonts w:ascii="David" w:hAnsi="David"/>
                <w:sz w:val="24"/>
                <w:rtl/>
              </w:rPr>
              <w:t>, ת.ז 4755526</w:t>
            </w:r>
            <w:r>
              <w:br/>
            </w:r>
            <w:r>
              <w:br/>
            </w:r>
            <w:r>
              <w:rPr>
                <w:rFonts w:ascii="David" w:hAnsi="David"/>
                <w:sz w:val="24"/>
                <w:rtl/>
              </w:rPr>
              <w:t xml:space="preserve">באמצעות ב"כ: עו"ד </w:t>
            </w:r>
            <w:proofErr w:type="spellStart"/>
            <w:r>
              <w:rPr>
                <w:rFonts w:ascii="David" w:hAnsi="David"/>
                <w:sz w:val="24"/>
                <w:rtl/>
              </w:rPr>
              <w:t>רובינוב</w:t>
            </w:r>
            <w:proofErr w:type="spellEnd"/>
            <w:r>
              <w:rPr>
                <w:rFonts w:ascii="David" w:hAnsi="David"/>
                <w:sz w:val="24"/>
                <w:rtl/>
              </w:rPr>
              <w:t xml:space="preserve"> אברהם</w:t>
            </w:r>
            <w:r>
              <w:br/>
            </w:r>
            <w:r>
              <w:rPr>
                <w:rFonts w:ascii="David" w:hAnsi="David"/>
                <w:sz w:val="24"/>
                <w:rtl/>
              </w:rPr>
              <w:t>גורי ישראל 34, תל אביב - יפו</w:t>
            </w:r>
            <w:r>
              <w:br/>
            </w:r>
            <w:r>
              <w:rPr>
                <w:rFonts w:ascii="David" w:hAnsi="David"/>
                <w:sz w:val="24"/>
                <w:rtl/>
              </w:rPr>
              <w:t>טל':0544361570 פקס:037700955</w:t>
            </w:r>
            <w:r>
              <w:br/>
            </w:r>
          </w:p>
        </w:tc>
      </w:tr>
      <w:tr w:rsidR="009539F2" w14:paraId="1D0441B7" w14:textId="77777777" w:rsidTr="006154A7">
        <w:tc>
          <w:tcPr>
            <w:tcW w:w="916" w:type="pct"/>
          </w:tcPr>
          <w:p w14:paraId="3D8C32C8" w14:textId="77777777" w:rsidR="009539F2" w:rsidRDefault="009539F2" w:rsidP="00FB086D">
            <w:pPr>
              <w:spacing w:before="100" w:beforeAutospacing="1" w:after="100" w:afterAutospacing="1" w:line="276" w:lineRule="auto"/>
              <w:rPr>
                <w:rFonts w:ascii="David" w:hAnsi="David"/>
                <w:sz w:val="24"/>
                <w:rtl/>
              </w:rPr>
            </w:pPr>
          </w:p>
        </w:tc>
        <w:tc>
          <w:tcPr>
            <w:tcW w:w="845" w:type="pct"/>
          </w:tcPr>
          <w:p w14:paraId="4684F082" w14:textId="77777777" w:rsidR="009539F2" w:rsidRDefault="009539F2" w:rsidP="00FB086D">
            <w:pPr>
              <w:spacing w:before="100" w:beforeAutospacing="1" w:after="100" w:afterAutospacing="1"/>
              <w:rPr>
                <w:rFonts w:ascii="David" w:hAnsi="David"/>
                <w:sz w:val="24"/>
              </w:rPr>
            </w:pPr>
          </w:p>
        </w:tc>
        <w:tc>
          <w:tcPr>
            <w:tcW w:w="352" w:type="pct"/>
          </w:tcPr>
          <w:p w14:paraId="750B7A7F" w14:textId="77777777" w:rsidR="009539F2" w:rsidRDefault="009539F2" w:rsidP="00FB086D">
            <w:pPr>
              <w:spacing w:before="100" w:beforeAutospacing="1" w:after="100" w:afterAutospacing="1"/>
              <w:rPr>
                <w:rFonts w:ascii="David" w:hAnsi="David"/>
                <w:sz w:val="24"/>
              </w:rPr>
            </w:pPr>
            <w:r>
              <w:rPr>
                <w:rFonts w:ascii="David" w:hAnsi="David"/>
                <w:sz w:val="24"/>
                <w:rtl/>
              </w:rPr>
              <w:t>2</w:t>
            </w:r>
          </w:p>
        </w:tc>
        <w:tc>
          <w:tcPr>
            <w:tcW w:w="2887" w:type="pct"/>
          </w:tcPr>
          <w:p w14:paraId="54676115" w14:textId="77777777" w:rsidR="009539F2" w:rsidRDefault="009539F2" w:rsidP="00FB086D">
            <w:pPr>
              <w:spacing w:before="100" w:beforeAutospacing="1" w:after="100" w:afterAutospacing="1" w:line="276" w:lineRule="auto"/>
              <w:rPr>
                <w:rFonts w:ascii="David" w:hAnsi="David"/>
                <w:sz w:val="24"/>
                <w:rtl/>
              </w:rPr>
            </w:pPr>
            <w:proofErr w:type="spellStart"/>
            <w:r>
              <w:rPr>
                <w:rFonts w:ascii="David" w:hAnsi="David"/>
                <w:sz w:val="24"/>
                <w:rtl/>
              </w:rPr>
              <w:t>בוטבול</w:t>
            </w:r>
            <w:proofErr w:type="spellEnd"/>
            <w:r>
              <w:rPr>
                <w:rFonts w:ascii="David" w:hAnsi="David"/>
                <w:sz w:val="24"/>
                <w:rtl/>
              </w:rPr>
              <w:t xml:space="preserve"> יהודה, ת.ז 69793909</w:t>
            </w:r>
            <w:r>
              <w:br/>
            </w:r>
            <w:r>
              <w:rPr>
                <w:rFonts w:ascii="David" w:hAnsi="David"/>
                <w:sz w:val="24"/>
                <w:rtl/>
              </w:rPr>
              <w:t>רמב"ם 64, ראשון לציון</w:t>
            </w:r>
            <w:r>
              <w:br/>
            </w:r>
            <w:r>
              <w:rPr>
                <w:rFonts w:ascii="David" w:hAnsi="David"/>
                <w:sz w:val="24"/>
                <w:rtl/>
              </w:rPr>
              <w:t xml:space="preserve">טל':0546729170 </w:t>
            </w:r>
            <w:r>
              <w:br/>
            </w:r>
          </w:p>
        </w:tc>
      </w:tr>
      <w:tr w:rsidR="009539F2" w14:paraId="34365B8D" w14:textId="77777777" w:rsidTr="006154A7">
        <w:tc>
          <w:tcPr>
            <w:tcW w:w="916" w:type="pct"/>
          </w:tcPr>
          <w:p w14:paraId="4759D036" w14:textId="77777777" w:rsidR="009539F2" w:rsidRDefault="009539F2" w:rsidP="00FB086D">
            <w:pPr>
              <w:spacing w:before="100" w:beforeAutospacing="1" w:after="100" w:afterAutospacing="1" w:line="276" w:lineRule="auto"/>
              <w:rPr>
                <w:rFonts w:ascii="David" w:hAnsi="David"/>
                <w:sz w:val="24"/>
                <w:rtl/>
              </w:rPr>
            </w:pPr>
          </w:p>
        </w:tc>
        <w:tc>
          <w:tcPr>
            <w:tcW w:w="845" w:type="pct"/>
          </w:tcPr>
          <w:p w14:paraId="5B959370" w14:textId="77777777" w:rsidR="009539F2" w:rsidRDefault="009539F2" w:rsidP="00FB086D">
            <w:pPr>
              <w:spacing w:before="100" w:beforeAutospacing="1" w:after="100" w:afterAutospacing="1"/>
              <w:rPr>
                <w:rFonts w:ascii="David" w:hAnsi="David"/>
                <w:sz w:val="24"/>
              </w:rPr>
            </w:pPr>
          </w:p>
        </w:tc>
        <w:tc>
          <w:tcPr>
            <w:tcW w:w="352" w:type="pct"/>
          </w:tcPr>
          <w:p w14:paraId="14461824" w14:textId="77777777" w:rsidR="009539F2" w:rsidRDefault="009539F2" w:rsidP="00FB086D">
            <w:pPr>
              <w:spacing w:before="100" w:beforeAutospacing="1" w:after="100" w:afterAutospacing="1"/>
              <w:rPr>
                <w:rFonts w:ascii="David" w:hAnsi="David"/>
                <w:sz w:val="24"/>
              </w:rPr>
            </w:pPr>
            <w:r>
              <w:rPr>
                <w:rFonts w:ascii="David" w:hAnsi="David"/>
                <w:sz w:val="24"/>
                <w:rtl/>
              </w:rPr>
              <w:t>3</w:t>
            </w:r>
          </w:p>
        </w:tc>
        <w:tc>
          <w:tcPr>
            <w:tcW w:w="2887" w:type="pct"/>
          </w:tcPr>
          <w:p w14:paraId="6018D87F" w14:textId="77777777" w:rsidR="009539F2" w:rsidRDefault="009539F2" w:rsidP="00FB086D">
            <w:pPr>
              <w:spacing w:before="100" w:beforeAutospacing="1" w:after="100" w:afterAutospacing="1" w:line="276" w:lineRule="auto"/>
              <w:rPr>
                <w:rFonts w:ascii="David" w:hAnsi="David"/>
                <w:sz w:val="24"/>
                <w:rtl/>
              </w:rPr>
            </w:pPr>
            <w:r>
              <w:rPr>
                <w:rFonts w:ascii="David" w:hAnsi="David"/>
                <w:sz w:val="24"/>
                <w:rtl/>
              </w:rPr>
              <w:t>ביטון שגיא (נמחק</w:t>
            </w:r>
            <w:r>
              <w:rPr>
                <w:rFonts w:ascii="David" w:hAnsi="David" w:hint="cs"/>
                <w:sz w:val="24"/>
                <w:rtl/>
              </w:rPr>
              <w:t xml:space="preserve"> ביום 24.3.2025</w:t>
            </w:r>
            <w:r>
              <w:rPr>
                <w:rFonts w:ascii="David" w:hAnsi="David"/>
                <w:sz w:val="24"/>
                <w:rtl/>
              </w:rPr>
              <w:t>), ת.ז 203850516</w:t>
            </w:r>
            <w:r>
              <w:br/>
            </w:r>
            <w:r>
              <w:rPr>
                <w:rFonts w:ascii="David" w:hAnsi="David"/>
                <w:sz w:val="24"/>
                <w:rtl/>
              </w:rPr>
              <w:t>הסוכה 12 א, ראשון לציון</w:t>
            </w:r>
            <w:r>
              <w:br/>
            </w:r>
            <w:r>
              <w:rPr>
                <w:rFonts w:ascii="David" w:hAnsi="David"/>
                <w:sz w:val="24"/>
                <w:rtl/>
              </w:rPr>
              <w:t xml:space="preserve">טל':0509526252 </w:t>
            </w:r>
            <w:r>
              <w:br/>
            </w:r>
          </w:p>
        </w:tc>
      </w:tr>
      <w:tr w:rsidR="009539F2" w14:paraId="3010567D" w14:textId="77777777" w:rsidTr="006154A7">
        <w:tc>
          <w:tcPr>
            <w:tcW w:w="916" w:type="pct"/>
          </w:tcPr>
          <w:p w14:paraId="2462FAC7" w14:textId="77777777" w:rsidR="009539F2" w:rsidRDefault="009539F2" w:rsidP="00FB086D">
            <w:pPr>
              <w:spacing w:before="100" w:beforeAutospacing="1" w:after="100" w:afterAutospacing="1" w:line="276" w:lineRule="auto"/>
              <w:rPr>
                <w:rFonts w:ascii="David" w:hAnsi="David"/>
                <w:sz w:val="24"/>
                <w:rtl/>
              </w:rPr>
            </w:pPr>
          </w:p>
        </w:tc>
        <w:tc>
          <w:tcPr>
            <w:tcW w:w="845" w:type="pct"/>
          </w:tcPr>
          <w:p w14:paraId="043B73DF" w14:textId="77777777" w:rsidR="009539F2" w:rsidRDefault="009539F2" w:rsidP="00FB086D">
            <w:pPr>
              <w:spacing w:before="100" w:beforeAutospacing="1" w:after="100" w:afterAutospacing="1"/>
              <w:rPr>
                <w:rFonts w:ascii="David" w:hAnsi="David"/>
                <w:sz w:val="24"/>
              </w:rPr>
            </w:pPr>
          </w:p>
        </w:tc>
        <w:tc>
          <w:tcPr>
            <w:tcW w:w="352" w:type="pct"/>
          </w:tcPr>
          <w:p w14:paraId="77D8E1BD" w14:textId="77777777" w:rsidR="009539F2" w:rsidRDefault="009539F2" w:rsidP="00FB086D">
            <w:pPr>
              <w:spacing w:before="100" w:beforeAutospacing="1" w:after="100" w:afterAutospacing="1"/>
              <w:rPr>
                <w:rFonts w:ascii="David" w:hAnsi="David"/>
                <w:sz w:val="24"/>
              </w:rPr>
            </w:pPr>
            <w:r>
              <w:rPr>
                <w:rFonts w:ascii="David" w:hAnsi="David"/>
                <w:sz w:val="24"/>
                <w:rtl/>
              </w:rPr>
              <w:t>4</w:t>
            </w:r>
          </w:p>
        </w:tc>
        <w:tc>
          <w:tcPr>
            <w:tcW w:w="2887" w:type="pct"/>
          </w:tcPr>
          <w:p w14:paraId="5659048C" w14:textId="77777777" w:rsidR="009539F2" w:rsidRDefault="009539F2" w:rsidP="00FB086D">
            <w:pPr>
              <w:spacing w:before="100" w:beforeAutospacing="1" w:after="100" w:afterAutospacing="1" w:line="276" w:lineRule="auto"/>
              <w:rPr>
                <w:rFonts w:ascii="David" w:hAnsi="David"/>
                <w:sz w:val="24"/>
                <w:rtl/>
              </w:rPr>
            </w:pPr>
            <w:proofErr w:type="spellStart"/>
            <w:r>
              <w:rPr>
                <w:rFonts w:ascii="David" w:hAnsi="David"/>
                <w:sz w:val="24"/>
                <w:rtl/>
              </w:rPr>
              <w:t>קוגן</w:t>
            </w:r>
            <w:proofErr w:type="spellEnd"/>
            <w:r>
              <w:rPr>
                <w:rFonts w:ascii="David" w:hAnsi="David"/>
                <w:sz w:val="24"/>
                <w:rtl/>
              </w:rPr>
              <w:t xml:space="preserve"> אלכס (נמחק</w:t>
            </w:r>
            <w:r>
              <w:rPr>
                <w:rFonts w:ascii="David" w:hAnsi="David" w:hint="cs"/>
                <w:sz w:val="24"/>
                <w:rtl/>
              </w:rPr>
              <w:t xml:space="preserve"> ביום 24.3.2025</w:t>
            </w:r>
            <w:r>
              <w:rPr>
                <w:rFonts w:ascii="David" w:hAnsi="David"/>
                <w:sz w:val="24"/>
                <w:rtl/>
              </w:rPr>
              <w:t>), ת.ז 310527551</w:t>
            </w:r>
            <w:r>
              <w:br/>
            </w:r>
            <w:r>
              <w:rPr>
                <w:rFonts w:ascii="David" w:hAnsi="David"/>
                <w:sz w:val="24"/>
                <w:rtl/>
              </w:rPr>
              <w:t>רמב"ם 64, ראשון לציון</w:t>
            </w:r>
            <w:r>
              <w:br/>
            </w:r>
            <w:r>
              <w:rPr>
                <w:rFonts w:ascii="David" w:hAnsi="David"/>
                <w:sz w:val="24"/>
                <w:rtl/>
              </w:rPr>
              <w:t xml:space="preserve">טל':0546728028 </w:t>
            </w:r>
            <w:r>
              <w:br/>
            </w:r>
          </w:p>
        </w:tc>
      </w:tr>
      <w:tr w:rsidR="009539F2" w14:paraId="26433766" w14:textId="77777777" w:rsidTr="006154A7">
        <w:tc>
          <w:tcPr>
            <w:tcW w:w="916" w:type="pct"/>
          </w:tcPr>
          <w:p w14:paraId="7DD2B4E6" w14:textId="77777777" w:rsidR="009539F2" w:rsidRDefault="009539F2" w:rsidP="00FB086D">
            <w:pPr>
              <w:spacing w:before="100" w:beforeAutospacing="1" w:after="100" w:afterAutospacing="1" w:line="276" w:lineRule="auto"/>
              <w:rPr>
                <w:rFonts w:ascii="David" w:hAnsi="David"/>
                <w:sz w:val="24"/>
                <w:rtl/>
              </w:rPr>
            </w:pPr>
          </w:p>
        </w:tc>
        <w:tc>
          <w:tcPr>
            <w:tcW w:w="845" w:type="pct"/>
          </w:tcPr>
          <w:p w14:paraId="1772E44D" w14:textId="77777777" w:rsidR="009539F2" w:rsidRDefault="009539F2" w:rsidP="00FB086D">
            <w:pPr>
              <w:spacing w:before="100" w:beforeAutospacing="1" w:after="100" w:afterAutospacing="1"/>
              <w:rPr>
                <w:rFonts w:ascii="David" w:hAnsi="David"/>
                <w:sz w:val="24"/>
              </w:rPr>
            </w:pPr>
          </w:p>
        </w:tc>
        <w:tc>
          <w:tcPr>
            <w:tcW w:w="352" w:type="pct"/>
          </w:tcPr>
          <w:p w14:paraId="2DAD247B" w14:textId="77777777" w:rsidR="009539F2" w:rsidRDefault="009539F2" w:rsidP="00FB086D">
            <w:pPr>
              <w:spacing w:before="100" w:beforeAutospacing="1" w:after="100" w:afterAutospacing="1"/>
              <w:rPr>
                <w:rFonts w:ascii="David" w:hAnsi="David"/>
                <w:sz w:val="24"/>
              </w:rPr>
            </w:pPr>
            <w:r>
              <w:rPr>
                <w:rFonts w:ascii="David" w:hAnsi="David"/>
                <w:sz w:val="24"/>
                <w:rtl/>
              </w:rPr>
              <w:t>5</w:t>
            </w:r>
          </w:p>
        </w:tc>
        <w:tc>
          <w:tcPr>
            <w:tcW w:w="2887" w:type="pct"/>
          </w:tcPr>
          <w:p w14:paraId="665D5999" w14:textId="77777777" w:rsidR="009539F2" w:rsidRDefault="009539F2" w:rsidP="00FB086D">
            <w:pPr>
              <w:spacing w:before="100" w:beforeAutospacing="1" w:after="100" w:afterAutospacing="1" w:line="276" w:lineRule="auto"/>
              <w:rPr>
                <w:rFonts w:ascii="David" w:hAnsi="David"/>
                <w:sz w:val="24"/>
                <w:rtl/>
              </w:rPr>
            </w:pPr>
            <w:proofErr w:type="spellStart"/>
            <w:r>
              <w:rPr>
                <w:rFonts w:ascii="David" w:hAnsi="David" w:hint="cs"/>
                <w:sz w:val="24"/>
                <w:rtl/>
              </w:rPr>
              <w:t>ליליאנה</w:t>
            </w:r>
            <w:proofErr w:type="spellEnd"/>
            <w:r>
              <w:rPr>
                <w:rFonts w:ascii="David" w:hAnsi="David" w:hint="cs"/>
                <w:sz w:val="24"/>
                <w:rtl/>
              </w:rPr>
              <w:t xml:space="preserve"> כהן אמין</w:t>
            </w:r>
            <w:r>
              <w:rPr>
                <w:rFonts w:ascii="David" w:hAnsi="David"/>
                <w:sz w:val="24"/>
                <w:rtl/>
              </w:rPr>
              <w:t xml:space="preserve">, ת.ז </w:t>
            </w:r>
            <w:r>
              <w:rPr>
                <w:rFonts w:ascii="David" w:hAnsi="David" w:hint="cs"/>
                <w:sz w:val="24"/>
                <w:rtl/>
              </w:rPr>
              <w:t>6836449</w:t>
            </w:r>
            <w:r>
              <w:br/>
            </w:r>
            <w:r>
              <w:br/>
            </w:r>
            <w:r>
              <w:rPr>
                <w:rFonts w:ascii="David" w:hAnsi="David"/>
                <w:sz w:val="24"/>
                <w:rtl/>
              </w:rPr>
              <w:t>באמצעות ב"כ: עו"ד אברמוביץ אליס</w:t>
            </w:r>
            <w:r>
              <w:br/>
            </w:r>
            <w:r>
              <w:rPr>
                <w:rFonts w:ascii="David" w:hAnsi="David"/>
                <w:sz w:val="24"/>
                <w:rtl/>
              </w:rPr>
              <w:t>נח מוזס 2, ראשון לציון</w:t>
            </w:r>
            <w:r>
              <w:br/>
            </w:r>
            <w:r>
              <w:rPr>
                <w:rFonts w:ascii="David" w:hAnsi="David"/>
                <w:sz w:val="24"/>
                <w:rtl/>
              </w:rPr>
              <w:t>טל':0522744745 פקס:03 5497075</w:t>
            </w:r>
            <w:r>
              <w:br/>
            </w:r>
          </w:p>
        </w:tc>
      </w:tr>
      <w:tr w:rsidR="009539F2" w14:paraId="0DD91534" w14:textId="77777777" w:rsidTr="006154A7">
        <w:tc>
          <w:tcPr>
            <w:tcW w:w="916" w:type="pct"/>
          </w:tcPr>
          <w:p w14:paraId="7BB0FE58" w14:textId="77777777" w:rsidR="009539F2" w:rsidRDefault="009539F2" w:rsidP="00FB086D">
            <w:pPr>
              <w:spacing w:before="100" w:beforeAutospacing="1" w:after="100" w:afterAutospacing="1" w:line="276" w:lineRule="auto"/>
              <w:rPr>
                <w:rFonts w:ascii="David" w:hAnsi="David"/>
                <w:sz w:val="24"/>
                <w:rtl/>
              </w:rPr>
            </w:pPr>
          </w:p>
        </w:tc>
        <w:tc>
          <w:tcPr>
            <w:tcW w:w="845" w:type="pct"/>
          </w:tcPr>
          <w:p w14:paraId="501A824F" w14:textId="77777777" w:rsidR="009539F2" w:rsidRDefault="009539F2" w:rsidP="00FB086D">
            <w:pPr>
              <w:spacing w:before="100" w:beforeAutospacing="1" w:after="100" w:afterAutospacing="1"/>
              <w:rPr>
                <w:rFonts w:ascii="David" w:hAnsi="David"/>
                <w:sz w:val="24"/>
              </w:rPr>
            </w:pPr>
          </w:p>
        </w:tc>
        <w:tc>
          <w:tcPr>
            <w:tcW w:w="352" w:type="pct"/>
          </w:tcPr>
          <w:p w14:paraId="2405F2C8" w14:textId="77777777" w:rsidR="009539F2" w:rsidRDefault="009539F2" w:rsidP="00FB086D">
            <w:pPr>
              <w:spacing w:before="100" w:beforeAutospacing="1" w:after="100" w:afterAutospacing="1"/>
              <w:rPr>
                <w:rFonts w:ascii="David" w:hAnsi="David"/>
                <w:sz w:val="24"/>
              </w:rPr>
            </w:pPr>
            <w:r>
              <w:rPr>
                <w:rFonts w:ascii="David" w:hAnsi="David"/>
                <w:sz w:val="24"/>
                <w:rtl/>
              </w:rPr>
              <w:t>6</w:t>
            </w:r>
          </w:p>
        </w:tc>
        <w:tc>
          <w:tcPr>
            <w:tcW w:w="2887" w:type="pct"/>
          </w:tcPr>
          <w:p w14:paraId="133FB395" w14:textId="77777777" w:rsidR="009539F2" w:rsidRDefault="009539F2" w:rsidP="00FB086D">
            <w:pPr>
              <w:spacing w:before="100" w:beforeAutospacing="1" w:after="100" w:afterAutospacing="1" w:line="276" w:lineRule="auto"/>
              <w:rPr>
                <w:rFonts w:ascii="David" w:hAnsi="David"/>
                <w:sz w:val="24"/>
                <w:rtl/>
              </w:rPr>
            </w:pPr>
            <w:r>
              <w:rPr>
                <w:rFonts w:ascii="David" w:hAnsi="David"/>
                <w:sz w:val="24"/>
                <w:rtl/>
              </w:rPr>
              <w:t>כהן נתן, ת.ז 16648461</w:t>
            </w:r>
            <w:r>
              <w:br/>
            </w:r>
            <w:r>
              <w:rPr>
                <w:rFonts w:ascii="David" w:hAnsi="David"/>
                <w:sz w:val="24"/>
                <w:rtl/>
              </w:rPr>
              <w:t>רמב"ם 64, ראשון לציון</w:t>
            </w:r>
            <w:r>
              <w:br/>
            </w:r>
            <w:r>
              <w:rPr>
                <w:rFonts w:ascii="David" w:hAnsi="David"/>
                <w:sz w:val="24"/>
                <w:rtl/>
              </w:rPr>
              <w:t xml:space="preserve">טל':0506798661 </w:t>
            </w:r>
          </w:p>
        </w:tc>
      </w:tr>
    </w:tbl>
    <w:p w14:paraId="49E2D9F3" w14:textId="77777777" w:rsidR="009539F2" w:rsidRPr="008A7D76" w:rsidRDefault="009539F2" w:rsidP="00846C80">
      <w:pPr>
        <w:spacing w:before="200"/>
        <w:ind w:firstLine="720"/>
        <w:contextualSpacing w:val="0"/>
        <w:jc w:val="center"/>
        <w:outlineLvl w:val="0"/>
        <w:rPr>
          <w:rFonts w:ascii="David" w:hAnsi="David"/>
          <w:b/>
          <w:bCs/>
          <w:sz w:val="32"/>
          <w:szCs w:val="32"/>
          <w:u w:val="single"/>
          <w:rtl/>
        </w:rPr>
      </w:pPr>
      <w:r>
        <w:rPr>
          <w:rFonts w:ascii="David" w:hAnsi="David"/>
          <w:b/>
          <w:bCs/>
          <w:noProof/>
          <w:sz w:val="24"/>
          <w:szCs w:val="32"/>
          <w:u w:val="single"/>
          <w:rtl/>
        </w:rPr>
        <w:lastRenderedPageBreak/>
        <w:t>פסק דין</w:t>
      </w:r>
    </w:p>
    <w:p w14:paraId="1ED02E79" w14:textId="2C9FD277" w:rsidR="009539F2" w:rsidRDefault="009539F2" w:rsidP="009539F2">
      <w:pPr>
        <w:spacing w:before="100" w:beforeAutospacing="1" w:after="240" w:line="360" w:lineRule="auto"/>
        <w:contextualSpacing w:val="0"/>
        <w:jc w:val="both"/>
        <w:rPr>
          <w:rFonts w:eastAsia="Calibri"/>
          <w:rtl/>
        </w:rPr>
      </w:pPr>
      <w:bookmarkStart w:id="0" w:name="_Hlk196395051"/>
      <w:r>
        <w:rPr>
          <w:rFonts w:hint="cs"/>
          <w:rtl/>
        </w:rPr>
        <w:t xml:space="preserve">השאלה שבבסיס תביעה זו היא האם בעל דירה בבית משותף יכול </w:t>
      </w:r>
      <w:r>
        <w:rPr>
          <w:rFonts w:eastAsia="Calibri" w:hint="cs"/>
          <w:rtl/>
        </w:rPr>
        <w:t>לרכוש זיקת הנאה מכוח שנים, בחניה שמוצמדת לבעלי דירות אחרים באותו בית משותף? אקדים ואומר כי התשובה לשאלה זו, למצער בנסיבות העניין שלפניי, שלילית. משכך, יש לקבל את התביעה לסילוק יד שהגישה התובעת נגד הנתבעים.</w:t>
      </w:r>
    </w:p>
    <w:p w14:paraId="3393A0B7" w14:textId="77777777" w:rsidR="009539F2" w:rsidRDefault="009539F2" w:rsidP="00846C80">
      <w:pPr>
        <w:spacing w:before="100" w:beforeAutospacing="1" w:after="240" w:line="360" w:lineRule="auto"/>
        <w:contextualSpacing w:val="0"/>
        <w:jc w:val="both"/>
        <w:outlineLvl w:val="1"/>
        <w:rPr>
          <w:rFonts w:eastAsia="Calibri"/>
          <w:rtl/>
        </w:rPr>
      </w:pPr>
      <w:r>
        <w:rPr>
          <w:rFonts w:eastAsia="Calibri" w:hint="cs"/>
          <w:b/>
          <w:bCs/>
          <w:u w:val="single"/>
          <w:rtl/>
        </w:rPr>
        <w:t>הערה מקדימה בנוגע לצדדים להליך</w:t>
      </w:r>
    </w:p>
    <w:p w14:paraId="41894E45" w14:textId="0A59F780" w:rsidR="009539F2" w:rsidRDefault="009539F2" w:rsidP="009539F2">
      <w:pPr>
        <w:numPr>
          <w:ilvl w:val="0"/>
          <w:numId w:val="15"/>
        </w:numPr>
        <w:spacing w:before="100" w:beforeAutospacing="1" w:after="240" w:line="360" w:lineRule="auto"/>
        <w:ind w:left="340" w:hanging="340"/>
        <w:contextualSpacing w:val="0"/>
        <w:jc w:val="both"/>
      </w:pPr>
      <w:r>
        <w:rPr>
          <w:rFonts w:hint="cs"/>
          <w:rtl/>
        </w:rPr>
        <w:t xml:space="preserve">במקור הוגשה התביעה נגד שישה נתבעים. בשל התפתחויות שונות, מצבת הנתבעים שונתה מספר פעמים: תחילה ניתנה החלטה בהסכמה על החלפתו של הנתבע 5 המקורי, מר מרדכי </w:t>
      </w:r>
      <w:proofErr w:type="spellStart"/>
      <w:r>
        <w:rPr>
          <w:rFonts w:hint="cs"/>
          <w:rtl/>
        </w:rPr>
        <w:t>בורודיצקי</w:t>
      </w:r>
      <w:proofErr w:type="spellEnd"/>
      <w:r>
        <w:rPr>
          <w:rFonts w:hint="cs"/>
          <w:rtl/>
        </w:rPr>
        <w:t xml:space="preserve"> ז"ל (להלן: "</w:t>
      </w:r>
      <w:r>
        <w:rPr>
          <w:rFonts w:hint="cs"/>
          <w:b/>
          <w:bCs/>
          <w:rtl/>
        </w:rPr>
        <w:t xml:space="preserve">מר </w:t>
      </w:r>
      <w:proofErr w:type="spellStart"/>
      <w:r>
        <w:rPr>
          <w:rFonts w:hint="cs"/>
          <w:b/>
          <w:bCs/>
          <w:rtl/>
        </w:rPr>
        <w:t>בורודיצקי</w:t>
      </w:r>
      <w:proofErr w:type="spellEnd"/>
      <w:r>
        <w:rPr>
          <w:rFonts w:hint="cs"/>
          <w:rtl/>
        </w:rPr>
        <w:t xml:space="preserve">"), בנתבעת 5 </w:t>
      </w:r>
      <w:proofErr w:type="spellStart"/>
      <w:r>
        <w:rPr>
          <w:rFonts w:hint="cs"/>
          <w:rtl/>
        </w:rPr>
        <w:t>דהיום</w:t>
      </w:r>
      <w:proofErr w:type="spellEnd"/>
      <w:r>
        <w:rPr>
          <w:rFonts w:hint="cs"/>
          <w:rtl/>
        </w:rPr>
        <w:t xml:space="preserve">, יורשתו, גב' </w:t>
      </w:r>
      <w:proofErr w:type="spellStart"/>
      <w:r>
        <w:rPr>
          <w:rFonts w:hint="cs"/>
          <w:rtl/>
        </w:rPr>
        <w:t>ליליאנה</w:t>
      </w:r>
      <w:proofErr w:type="spellEnd"/>
      <w:r>
        <w:rPr>
          <w:rFonts w:hint="cs"/>
          <w:rtl/>
        </w:rPr>
        <w:t xml:space="preserve"> כהן אמין </w:t>
      </w:r>
      <w:proofErr w:type="spellStart"/>
      <w:r>
        <w:rPr>
          <w:rFonts w:hint="cs"/>
          <w:rtl/>
        </w:rPr>
        <w:t>שתבדל"א</w:t>
      </w:r>
      <w:proofErr w:type="spellEnd"/>
      <w:r>
        <w:rPr>
          <w:rFonts w:hint="cs"/>
          <w:rtl/>
        </w:rPr>
        <w:t xml:space="preserve"> (להלן: "</w:t>
      </w:r>
      <w:r>
        <w:rPr>
          <w:rFonts w:hint="cs"/>
          <w:b/>
          <w:bCs/>
          <w:rtl/>
        </w:rPr>
        <w:t>הנתבעת</w:t>
      </w:r>
      <w:r>
        <w:rPr>
          <w:rFonts w:hint="cs"/>
          <w:rtl/>
        </w:rPr>
        <w:t>") (ראו: החלטה בעמ' 2 לפרוטוקול הדיון מיום 24.2.2025). לאחר מכן ניתנה</w:t>
      </w:r>
      <w:r w:rsidRPr="00CC7471">
        <w:rPr>
          <w:rFonts w:hint="cs"/>
          <w:rtl/>
        </w:rPr>
        <w:t xml:space="preserve"> </w:t>
      </w:r>
      <w:r>
        <w:rPr>
          <w:rFonts w:hint="cs"/>
          <w:rtl/>
        </w:rPr>
        <w:t xml:space="preserve">החלטה על מחיקתם בהסכמה של ה"ה מר ביטון שגיא, הנתבע 3, ומר </w:t>
      </w:r>
      <w:proofErr w:type="spellStart"/>
      <w:r>
        <w:rPr>
          <w:rFonts w:hint="cs"/>
          <w:rtl/>
        </w:rPr>
        <w:t>קוגן</w:t>
      </w:r>
      <w:proofErr w:type="spellEnd"/>
      <w:r>
        <w:rPr>
          <w:rFonts w:hint="cs"/>
          <w:rtl/>
        </w:rPr>
        <w:t xml:space="preserve"> אלכס, הנתבע 4 (ראו: החלטה בעמ' 3 לפרוטוקול הדיון מיום 24.3.2025). </w:t>
      </w:r>
    </w:p>
    <w:p w14:paraId="4B8C72F9" w14:textId="06EA23E0" w:rsidR="009539F2" w:rsidRDefault="009539F2" w:rsidP="009539F2">
      <w:pPr>
        <w:numPr>
          <w:ilvl w:val="0"/>
          <w:numId w:val="15"/>
        </w:numPr>
        <w:spacing w:before="100" w:beforeAutospacing="1" w:after="240" w:line="360" w:lineRule="auto"/>
        <w:ind w:left="340" w:hanging="340"/>
        <w:contextualSpacing w:val="0"/>
        <w:jc w:val="both"/>
      </w:pPr>
      <w:r>
        <w:rPr>
          <w:rFonts w:hint="cs"/>
          <w:rtl/>
        </w:rPr>
        <w:t>ביום 23.10.2025 הודיע ב"כ של הנתבע 1, מר צוף יצחק ז"ל (להלן: "</w:t>
      </w:r>
      <w:r>
        <w:rPr>
          <w:rFonts w:hint="cs"/>
          <w:b/>
          <w:bCs/>
          <w:rtl/>
        </w:rPr>
        <w:t>מר צוף</w:t>
      </w:r>
      <w:r>
        <w:rPr>
          <w:rFonts w:hint="cs"/>
          <w:rtl/>
        </w:rPr>
        <w:t xml:space="preserve">"), שלדאבון הלב מר צוף </w:t>
      </w:r>
      <w:r w:rsidR="00595C4A">
        <w:rPr>
          <w:rFonts w:hint="cs"/>
          <w:rtl/>
        </w:rPr>
        <w:t xml:space="preserve">ז"ל </w:t>
      </w:r>
      <w:r>
        <w:rPr>
          <w:rFonts w:hint="cs"/>
          <w:rtl/>
        </w:rPr>
        <w:t xml:space="preserve">הלך לעולמו לאחר מתן הצו לסיכומי הצדדים. בהמשך לכך הוריתי לתובעת להודיע האם היא מסכימה למחיקת ההליך נגד מר צוף ז"ל, וזאת על-מנת שלא לעכב את מתן פסק הדין. ביום 9.11.2025 הודיעה התובעת כי היא מסכימה למחיקתו של מר צוף ז"ל מכתב התביעה. </w:t>
      </w:r>
      <w:r w:rsidRPr="005C5230">
        <w:rPr>
          <w:rFonts w:hint="cs"/>
          <w:b/>
          <w:bCs/>
          <w:rtl/>
        </w:rPr>
        <w:t xml:space="preserve">בהתאם לכך אני מורה על מחיקתו של מר צוף </w:t>
      </w:r>
      <w:r>
        <w:rPr>
          <w:rFonts w:hint="cs"/>
          <w:b/>
          <w:bCs/>
          <w:rtl/>
        </w:rPr>
        <w:t xml:space="preserve">ז"ל </w:t>
      </w:r>
      <w:r w:rsidRPr="005C5230">
        <w:rPr>
          <w:rFonts w:hint="cs"/>
          <w:b/>
          <w:bCs/>
          <w:rtl/>
        </w:rPr>
        <w:t>מכתב התביעה ללא צו להוצאות</w:t>
      </w:r>
      <w:r>
        <w:rPr>
          <w:rFonts w:hint="cs"/>
          <w:rtl/>
        </w:rPr>
        <w:t>.</w:t>
      </w:r>
    </w:p>
    <w:p w14:paraId="6623A65A" w14:textId="77777777" w:rsidR="009539F2" w:rsidRPr="005C5230" w:rsidRDefault="009539F2" w:rsidP="009539F2">
      <w:pPr>
        <w:pStyle w:val="ac"/>
        <w:numPr>
          <w:ilvl w:val="0"/>
          <w:numId w:val="15"/>
        </w:numPr>
        <w:spacing w:before="100" w:beforeAutospacing="1" w:after="240" w:line="360" w:lineRule="auto"/>
        <w:contextualSpacing w:val="0"/>
        <w:jc w:val="both"/>
        <w:rPr>
          <w:sz w:val="24"/>
        </w:rPr>
      </w:pPr>
      <w:r>
        <w:rPr>
          <w:rFonts w:hint="cs"/>
          <w:sz w:val="24"/>
          <w:rtl/>
        </w:rPr>
        <w:t xml:space="preserve">הנתבע 2, מר יהודה </w:t>
      </w:r>
      <w:proofErr w:type="spellStart"/>
      <w:r>
        <w:rPr>
          <w:rFonts w:hint="cs"/>
          <w:sz w:val="24"/>
          <w:rtl/>
        </w:rPr>
        <w:t>בוטבול</w:t>
      </w:r>
      <w:proofErr w:type="spellEnd"/>
      <w:r>
        <w:rPr>
          <w:rFonts w:hint="cs"/>
          <w:sz w:val="24"/>
          <w:rtl/>
        </w:rPr>
        <w:t xml:space="preserve"> </w:t>
      </w:r>
      <w:r w:rsidRPr="002D1411">
        <w:rPr>
          <w:rFonts w:hint="cs"/>
          <w:sz w:val="24"/>
          <w:rtl/>
        </w:rPr>
        <w:t>(להלן: "</w:t>
      </w:r>
      <w:r>
        <w:rPr>
          <w:rFonts w:hint="cs"/>
          <w:b/>
          <w:bCs/>
          <w:sz w:val="24"/>
          <w:rtl/>
        </w:rPr>
        <w:t xml:space="preserve">מר </w:t>
      </w:r>
      <w:proofErr w:type="spellStart"/>
      <w:r>
        <w:rPr>
          <w:rFonts w:hint="cs"/>
          <w:b/>
          <w:bCs/>
          <w:sz w:val="24"/>
          <w:rtl/>
        </w:rPr>
        <w:t>בוטבול</w:t>
      </w:r>
      <w:proofErr w:type="spellEnd"/>
      <w:r w:rsidRPr="002D1411">
        <w:rPr>
          <w:rFonts w:hint="cs"/>
          <w:sz w:val="24"/>
          <w:rtl/>
        </w:rPr>
        <w:t>")</w:t>
      </w:r>
      <w:r>
        <w:rPr>
          <w:rFonts w:hint="cs"/>
          <w:sz w:val="24"/>
          <w:rtl/>
        </w:rPr>
        <w:t xml:space="preserve">, לא הגיש סיכומים מטעמו. בהתאם להוראות תקנות 74(ג) ו-75(2) לתקנות </w:t>
      </w:r>
      <w:r w:rsidRPr="00C8141B">
        <w:rPr>
          <w:rFonts w:eastAsia="Calibri"/>
          <w:sz w:val="28"/>
          <w:rtl/>
        </w:rPr>
        <w:t xml:space="preserve">סדר הדין האזרחי, </w:t>
      </w:r>
      <w:proofErr w:type="spellStart"/>
      <w:r>
        <w:rPr>
          <w:rFonts w:eastAsia="Calibri" w:hint="cs"/>
          <w:sz w:val="28"/>
          <w:rtl/>
        </w:rPr>
        <w:t>ה</w:t>
      </w:r>
      <w:r w:rsidRPr="00C8141B">
        <w:rPr>
          <w:rFonts w:eastAsia="Calibri"/>
          <w:sz w:val="28"/>
          <w:rtl/>
        </w:rPr>
        <w:t>תשע"ט</w:t>
      </w:r>
      <w:proofErr w:type="spellEnd"/>
      <w:r w:rsidRPr="00C8141B">
        <w:rPr>
          <w:rFonts w:eastAsia="Calibri"/>
          <w:sz w:val="28"/>
          <w:rtl/>
        </w:rPr>
        <w:t xml:space="preserve">– 2018 (להלן: </w:t>
      </w:r>
      <w:r w:rsidRPr="00C8141B">
        <w:rPr>
          <w:rFonts w:eastAsia="Calibri"/>
          <w:b/>
          <w:bCs/>
          <w:sz w:val="28"/>
          <w:rtl/>
        </w:rPr>
        <w:t>"התקנות"</w:t>
      </w:r>
      <w:r w:rsidRPr="00C8141B">
        <w:rPr>
          <w:rFonts w:eastAsia="Calibri"/>
          <w:sz w:val="28"/>
          <w:rtl/>
        </w:rPr>
        <w:t>)</w:t>
      </w:r>
      <w:r>
        <w:rPr>
          <w:rFonts w:hint="cs"/>
          <w:sz w:val="24"/>
          <w:rtl/>
        </w:rPr>
        <w:t>, אני קובע ש</w:t>
      </w:r>
      <w:r w:rsidRPr="005C5230">
        <w:rPr>
          <w:rFonts w:hint="cs"/>
          <w:b/>
          <w:bCs/>
          <w:sz w:val="24"/>
          <w:rtl/>
        </w:rPr>
        <w:t xml:space="preserve">התביעה נגד מר </w:t>
      </w:r>
      <w:proofErr w:type="spellStart"/>
      <w:r w:rsidRPr="005C5230">
        <w:rPr>
          <w:rFonts w:hint="cs"/>
          <w:b/>
          <w:bCs/>
          <w:sz w:val="24"/>
          <w:rtl/>
        </w:rPr>
        <w:t>בוטבול</w:t>
      </w:r>
      <w:proofErr w:type="spellEnd"/>
      <w:r w:rsidRPr="005C5230">
        <w:rPr>
          <w:rFonts w:hint="cs"/>
          <w:b/>
          <w:bCs/>
          <w:sz w:val="24"/>
          <w:rtl/>
        </w:rPr>
        <w:t xml:space="preserve"> מתקבלת</w:t>
      </w:r>
      <w:r>
        <w:rPr>
          <w:rFonts w:hint="cs"/>
          <w:sz w:val="24"/>
          <w:rtl/>
        </w:rPr>
        <w:t xml:space="preserve">. </w:t>
      </w:r>
    </w:p>
    <w:p w14:paraId="00B1BA1E" w14:textId="77777777" w:rsidR="009539F2" w:rsidRPr="005B7069" w:rsidRDefault="009539F2" w:rsidP="009539F2">
      <w:pPr>
        <w:pStyle w:val="ac"/>
        <w:numPr>
          <w:ilvl w:val="0"/>
          <w:numId w:val="15"/>
        </w:numPr>
        <w:spacing w:before="100" w:beforeAutospacing="1" w:after="240" w:line="360" w:lineRule="auto"/>
        <w:contextualSpacing w:val="0"/>
        <w:jc w:val="both"/>
        <w:rPr>
          <w:sz w:val="24"/>
        </w:rPr>
      </w:pPr>
      <w:r w:rsidRPr="009E1164">
        <w:rPr>
          <w:rFonts w:hint="cs"/>
          <w:sz w:val="24"/>
          <w:rtl/>
        </w:rPr>
        <w:t xml:space="preserve">הנתבע </w:t>
      </w:r>
      <w:r>
        <w:rPr>
          <w:rFonts w:hint="cs"/>
          <w:sz w:val="24"/>
          <w:rtl/>
        </w:rPr>
        <w:t>6</w:t>
      </w:r>
      <w:r w:rsidRPr="009E1164">
        <w:rPr>
          <w:rFonts w:hint="cs"/>
          <w:sz w:val="24"/>
          <w:rtl/>
        </w:rPr>
        <w:t>,</w:t>
      </w:r>
      <w:r>
        <w:rPr>
          <w:rFonts w:hint="cs"/>
          <w:sz w:val="24"/>
          <w:rtl/>
        </w:rPr>
        <w:t xml:space="preserve"> מר נתן כהן </w:t>
      </w:r>
      <w:r w:rsidRPr="002D1411">
        <w:rPr>
          <w:rFonts w:hint="cs"/>
          <w:sz w:val="24"/>
          <w:rtl/>
        </w:rPr>
        <w:t>(להלן: "</w:t>
      </w:r>
      <w:r>
        <w:rPr>
          <w:rFonts w:hint="cs"/>
          <w:b/>
          <w:bCs/>
          <w:sz w:val="24"/>
          <w:rtl/>
        </w:rPr>
        <w:t>מר כהן</w:t>
      </w:r>
      <w:r w:rsidRPr="002D1411">
        <w:rPr>
          <w:rFonts w:hint="cs"/>
          <w:sz w:val="24"/>
          <w:rtl/>
        </w:rPr>
        <w:t>")</w:t>
      </w:r>
      <w:r>
        <w:rPr>
          <w:rFonts w:hint="cs"/>
          <w:sz w:val="24"/>
          <w:rtl/>
        </w:rPr>
        <w:t xml:space="preserve">, בחר שלא להגיש כתב הגנה מטעמו ולא להתייצב לאף אחד מהדיונים. זאת, הגם שלפי המסמכים שהוצגו לי כתב התביעה הומצא לו כדין. בהתאם להוראות </w:t>
      </w:r>
      <w:r w:rsidRPr="00C8141B">
        <w:rPr>
          <w:rFonts w:eastAsia="Calibri"/>
          <w:sz w:val="28"/>
          <w:rtl/>
        </w:rPr>
        <w:t>תקנה 130 לתקנות</w:t>
      </w:r>
      <w:r>
        <w:rPr>
          <w:rFonts w:eastAsia="Calibri" w:hint="cs"/>
          <w:sz w:val="28"/>
          <w:rtl/>
        </w:rPr>
        <w:t>, אני קובע ש</w:t>
      </w:r>
      <w:r w:rsidRPr="005C5230">
        <w:rPr>
          <w:rFonts w:eastAsia="Calibri" w:hint="cs"/>
          <w:b/>
          <w:bCs/>
          <w:sz w:val="28"/>
          <w:rtl/>
        </w:rPr>
        <w:t>התביעה נגד מר כהן מתקבלת</w:t>
      </w:r>
      <w:r>
        <w:rPr>
          <w:rFonts w:eastAsia="Calibri" w:hint="cs"/>
          <w:sz w:val="28"/>
          <w:rtl/>
        </w:rPr>
        <w:t>.</w:t>
      </w:r>
    </w:p>
    <w:p w14:paraId="3D3DC832" w14:textId="77777777" w:rsidR="009539F2" w:rsidRDefault="009539F2" w:rsidP="009539F2">
      <w:pPr>
        <w:numPr>
          <w:ilvl w:val="0"/>
          <w:numId w:val="15"/>
        </w:numPr>
        <w:spacing w:before="100" w:beforeAutospacing="1" w:after="240" w:line="360" w:lineRule="auto"/>
        <w:ind w:left="340" w:hanging="340"/>
        <w:contextualSpacing w:val="0"/>
        <w:jc w:val="both"/>
      </w:pPr>
      <w:r>
        <w:rPr>
          <w:rFonts w:hint="cs"/>
          <w:rtl/>
        </w:rPr>
        <w:t xml:space="preserve">נותר אפוא להכריע בעניינה של הנתבעת. בהינתן האמור, ההתייחסות בפסק הדין תיעשה אך ורק בנוגע לטענות שהעלתה התובעת בעניינה של הנתבעת ובטענותיה של הנתבעת. כמו כן, ולשם הנוחות, כלל כתבי הטענות שהוגשו בשם מר </w:t>
      </w:r>
      <w:proofErr w:type="spellStart"/>
      <w:r>
        <w:rPr>
          <w:rFonts w:hint="cs"/>
          <w:rtl/>
        </w:rPr>
        <w:t>בורודיצקי</w:t>
      </w:r>
      <w:proofErr w:type="spellEnd"/>
      <w:r>
        <w:rPr>
          <w:rFonts w:hint="cs"/>
          <w:rtl/>
        </w:rPr>
        <w:t xml:space="preserve"> ייוחסו לנתבעת.</w:t>
      </w:r>
    </w:p>
    <w:p w14:paraId="5788ECAB" w14:textId="77777777" w:rsidR="003606E3" w:rsidRDefault="003606E3" w:rsidP="009539F2">
      <w:pPr>
        <w:spacing w:before="100" w:beforeAutospacing="1" w:after="240" w:line="360" w:lineRule="auto"/>
        <w:ind w:left="340" w:hanging="340"/>
        <w:contextualSpacing w:val="0"/>
        <w:jc w:val="both"/>
        <w:rPr>
          <w:rFonts w:eastAsia="Calibri"/>
          <w:b/>
          <w:bCs/>
          <w:u w:val="single"/>
          <w:rtl/>
        </w:rPr>
      </w:pPr>
    </w:p>
    <w:p w14:paraId="15BBEF10" w14:textId="77777777" w:rsidR="003606E3" w:rsidRDefault="003606E3" w:rsidP="009539F2">
      <w:pPr>
        <w:spacing w:before="100" w:beforeAutospacing="1" w:after="240" w:line="360" w:lineRule="auto"/>
        <w:ind w:left="340" w:hanging="340"/>
        <w:contextualSpacing w:val="0"/>
        <w:jc w:val="both"/>
        <w:rPr>
          <w:rFonts w:eastAsia="Calibri"/>
          <w:b/>
          <w:bCs/>
          <w:u w:val="single"/>
          <w:rtl/>
        </w:rPr>
      </w:pPr>
    </w:p>
    <w:p w14:paraId="063601F5" w14:textId="3AEC4911" w:rsidR="009539F2" w:rsidRDefault="009539F2" w:rsidP="00846C80">
      <w:pPr>
        <w:spacing w:before="100" w:beforeAutospacing="1" w:after="240" w:line="360" w:lineRule="auto"/>
        <w:ind w:left="340" w:hanging="340"/>
        <w:contextualSpacing w:val="0"/>
        <w:jc w:val="both"/>
        <w:outlineLvl w:val="1"/>
        <w:rPr>
          <w:rFonts w:eastAsia="Calibri"/>
          <w:b/>
          <w:bCs/>
          <w:u w:val="single"/>
          <w:rtl/>
        </w:rPr>
      </w:pPr>
      <w:r>
        <w:rPr>
          <w:rFonts w:eastAsia="Calibri"/>
          <w:b/>
          <w:bCs/>
          <w:u w:val="single"/>
          <w:rtl/>
        </w:rPr>
        <w:lastRenderedPageBreak/>
        <w:t xml:space="preserve">רקע עובדתי </w:t>
      </w:r>
    </w:p>
    <w:p w14:paraId="60F5C023" w14:textId="77777777" w:rsidR="009539F2" w:rsidRDefault="009539F2" w:rsidP="009539F2">
      <w:pPr>
        <w:numPr>
          <w:ilvl w:val="0"/>
          <w:numId w:val="15"/>
        </w:numPr>
        <w:spacing w:before="100" w:beforeAutospacing="1" w:after="240" w:line="360" w:lineRule="auto"/>
        <w:ind w:left="340" w:hanging="340"/>
        <w:contextualSpacing w:val="0"/>
        <w:jc w:val="both"/>
        <w:rPr>
          <w:rtl/>
        </w:rPr>
      </w:pPr>
      <w:r>
        <w:rPr>
          <w:rtl/>
        </w:rPr>
        <w:t xml:space="preserve">ענייננו בבית המשותף ברחוב </w:t>
      </w:r>
      <w:r>
        <w:rPr>
          <w:rFonts w:hint="cs"/>
          <w:rtl/>
        </w:rPr>
        <w:t>רמב"ם 64 ראשון לציון,</w:t>
      </w:r>
      <w:r>
        <w:rPr>
          <w:rtl/>
        </w:rPr>
        <w:t xml:space="preserve"> </w:t>
      </w:r>
      <w:r>
        <w:rPr>
          <w:rFonts w:hint="cs"/>
          <w:rtl/>
        </w:rPr>
        <w:t>ש</w:t>
      </w:r>
      <w:r>
        <w:rPr>
          <w:rtl/>
        </w:rPr>
        <w:t xml:space="preserve">מצוי במקרקעין הידועים כגוש </w:t>
      </w:r>
      <w:r>
        <w:rPr>
          <w:rFonts w:hint="cs"/>
          <w:rtl/>
        </w:rPr>
        <w:t xml:space="preserve">3930 </w:t>
      </w:r>
      <w:r>
        <w:rPr>
          <w:rtl/>
        </w:rPr>
        <w:t xml:space="preserve">חלקה </w:t>
      </w:r>
      <w:r>
        <w:rPr>
          <w:rFonts w:hint="cs"/>
          <w:rtl/>
        </w:rPr>
        <w:t>350</w:t>
      </w:r>
      <w:r>
        <w:rPr>
          <w:rtl/>
        </w:rPr>
        <w:t xml:space="preserve"> (להלן: "</w:t>
      </w:r>
      <w:r>
        <w:rPr>
          <w:b/>
          <w:bCs/>
          <w:rtl/>
        </w:rPr>
        <w:t>הבית המשותף</w:t>
      </w:r>
      <w:r>
        <w:rPr>
          <w:rtl/>
        </w:rPr>
        <w:t xml:space="preserve">"). </w:t>
      </w:r>
      <w:r>
        <w:rPr>
          <w:rFonts w:hint="cs"/>
          <w:rtl/>
        </w:rPr>
        <w:t>התובעת היא נציגות הבית המשותף. בהתאם לצוואה שקיבלה תוקף ביום 11.12.2024, הנתבעת היא יורשתם היחידה של בעלי הזכויות הרשומים, בדירה שידועה כתת חלקה 17 בבית המשותף (להלן: "</w:t>
      </w:r>
      <w:r>
        <w:rPr>
          <w:rFonts w:hint="cs"/>
          <w:b/>
          <w:bCs/>
          <w:rtl/>
        </w:rPr>
        <w:t>דירה 17</w:t>
      </w:r>
      <w:r>
        <w:rPr>
          <w:rFonts w:hint="cs"/>
          <w:rtl/>
        </w:rPr>
        <w:t>").</w:t>
      </w:r>
    </w:p>
    <w:p w14:paraId="4ED8D807" w14:textId="7AED0E96" w:rsidR="009539F2" w:rsidRDefault="009539F2" w:rsidP="009539F2">
      <w:pPr>
        <w:numPr>
          <w:ilvl w:val="0"/>
          <w:numId w:val="15"/>
        </w:numPr>
        <w:spacing w:before="100" w:beforeAutospacing="1" w:after="240" w:line="360" w:lineRule="auto"/>
        <w:ind w:left="340" w:hanging="340"/>
        <w:contextualSpacing w:val="0"/>
        <w:jc w:val="both"/>
      </w:pPr>
      <w:r>
        <w:rPr>
          <w:rFonts w:hint="cs"/>
          <w:rtl/>
        </w:rPr>
        <w:t>ביום 3.7.1981 אושר לרישום תקנון מוסכם לבית המשותף (להלן: "</w:t>
      </w:r>
      <w:r>
        <w:rPr>
          <w:rFonts w:hint="cs"/>
          <w:b/>
          <w:bCs/>
          <w:rtl/>
        </w:rPr>
        <w:t>התקנון המוסכם</w:t>
      </w:r>
      <w:r>
        <w:rPr>
          <w:rFonts w:hint="cs"/>
          <w:rtl/>
        </w:rPr>
        <w:t xml:space="preserve">"). עניינה של התביעה שלפניי נוגע לסעיף 2 לתקנון המוסכם, בו </w:t>
      </w:r>
      <w:r w:rsidR="00595C4A">
        <w:rPr>
          <w:rFonts w:hint="cs"/>
          <w:rtl/>
        </w:rPr>
        <w:t>נקבע</w:t>
      </w:r>
      <w:r>
        <w:rPr>
          <w:rFonts w:hint="cs"/>
          <w:rtl/>
        </w:rPr>
        <w:t xml:space="preserve"> כדלקמן:</w:t>
      </w:r>
    </w:p>
    <w:p w14:paraId="6FE47229" w14:textId="77777777" w:rsidR="009539F2" w:rsidRPr="00FD0298" w:rsidRDefault="009539F2" w:rsidP="009539F2">
      <w:pPr>
        <w:pStyle w:val="ac"/>
        <w:spacing w:before="100" w:beforeAutospacing="1" w:after="240" w:line="360" w:lineRule="auto"/>
        <w:ind w:right="680"/>
        <w:contextualSpacing w:val="0"/>
        <w:jc w:val="both"/>
      </w:pPr>
      <w:r w:rsidRPr="00FD0298">
        <w:rPr>
          <w:rFonts w:hint="cs"/>
          <w:rtl/>
        </w:rPr>
        <w:t xml:space="preserve">"השימוש בחניות המסומנות באותיות </w:t>
      </w:r>
      <w:proofErr w:type="spellStart"/>
      <w:r w:rsidRPr="00FD0298">
        <w:rPr>
          <w:rFonts w:hint="cs"/>
          <w:rtl/>
        </w:rPr>
        <w:t>יג</w:t>
      </w:r>
      <w:proofErr w:type="spellEnd"/>
      <w:r w:rsidRPr="00FD0298">
        <w:rPr>
          <w:rFonts w:hint="cs"/>
          <w:rtl/>
        </w:rPr>
        <w:t xml:space="preserve">' יד' טו' </w:t>
      </w:r>
      <w:proofErr w:type="spellStart"/>
      <w:r w:rsidRPr="00FD0298">
        <w:rPr>
          <w:rFonts w:hint="cs"/>
          <w:rtl/>
        </w:rPr>
        <w:t>טז</w:t>
      </w:r>
      <w:proofErr w:type="spellEnd"/>
      <w:r w:rsidRPr="00FD0298">
        <w:rPr>
          <w:rFonts w:hint="cs"/>
          <w:rtl/>
        </w:rPr>
        <w:t xml:space="preserve">' </w:t>
      </w:r>
      <w:proofErr w:type="spellStart"/>
      <w:r w:rsidRPr="00FD0298">
        <w:rPr>
          <w:rFonts w:hint="cs"/>
          <w:rtl/>
        </w:rPr>
        <w:t>יז</w:t>
      </w:r>
      <w:proofErr w:type="spellEnd"/>
      <w:r w:rsidRPr="00FD0298">
        <w:rPr>
          <w:rFonts w:hint="cs"/>
          <w:rtl/>
        </w:rPr>
        <w:t xml:space="preserve">' יח' </w:t>
      </w:r>
      <w:proofErr w:type="spellStart"/>
      <w:r w:rsidRPr="00FD0298">
        <w:rPr>
          <w:rFonts w:hint="cs"/>
          <w:rtl/>
        </w:rPr>
        <w:t>יט</w:t>
      </w:r>
      <w:proofErr w:type="spellEnd"/>
      <w:r w:rsidRPr="00FD0298">
        <w:rPr>
          <w:rFonts w:hint="cs"/>
          <w:rtl/>
        </w:rPr>
        <w:t xml:space="preserve">' ו-כ' והצמודות במשותף לדירות מס. משנה (כך במקור – ב.ל.) 350/3,4,7,8,12,15,16,19,23,24 בחלקים שווים יהיה כדלקמן: כל המגיע ראשון לחניון הבית וחניה מתוך החניות הנ"ל פנויה רשאי להחנות את רכבו בה. הסדר זה תקף רק לגבי בעלי הדירות והחניות המנויות בסעיף זה בכל שעה משעות היממה." </w:t>
      </w:r>
    </w:p>
    <w:p w14:paraId="29FC8522" w14:textId="77777777" w:rsidR="009539F2" w:rsidRDefault="009539F2" w:rsidP="009539F2">
      <w:pPr>
        <w:numPr>
          <w:ilvl w:val="0"/>
          <w:numId w:val="15"/>
        </w:numPr>
        <w:spacing w:before="100" w:beforeAutospacing="1" w:after="240" w:line="360" w:lineRule="auto"/>
        <w:ind w:left="340" w:hanging="340"/>
        <w:contextualSpacing w:val="0"/>
        <w:jc w:val="both"/>
      </w:pPr>
      <w:r>
        <w:rPr>
          <w:rFonts w:hint="cs"/>
          <w:rtl/>
        </w:rPr>
        <w:t>סעיף זה קובע, לענייננו, שלעשר דירות בבית המשותף (תתי חלקות 3,4,7,8,12,15,16,19,23 ו-24) (להלן: "</w:t>
      </w:r>
      <w:r>
        <w:rPr>
          <w:rFonts w:hint="cs"/>
          <w:b/>
          <w:bCs/>
          <w:rtl/>
        </w:rPr>
        <w:t>הדירות המוצמדות</w:t>
      </w:r>
      <w:r>
        <w:rPr>
          <w:rFonts w:hint="cs"/>
          <w:rtl/>
        </w:rPr>
        <w:t xml:space="preserve">") יהיו צמודות במשותף שמונה חניות (שמסומנות </w:t>
      </w:r>
      <w:proofErr w:type="spellStart"/>
      <w:r>
        <w:rPr>
          <w:rFonts w:hint="cs"/>
          <w:rtl/>
        </w:rPr>
        <w:t>בתשריט</w:t>
      </w:r>
      <w:proofErr w:type="spellEnd"/>
      <w:r>
        <w:rPr>
          <w:rFonts w:hint="cs"/>
          <w:rtl/>
        </w:rPr>
        <w:t xml:space="preserve"> הבית המשותף באותיות י"ג-כ') (להלן: "</w:t>
      </w:r>
      <w:r>
        <w:rPr>
          <w:rFonts w:hint="cs"/>
          <w:b/>
          <w:bCs/>
          <w:rtl/>
        </w:rPr>
        <w:t>החניות המשותפות</w:t>
      </w:r>
      <w:r>
        <w:rPr>
          <w:rFonts w:hint="cs"/>
          <w:rtl/>
        </w:rPr>
        <w:t>"), ושהשימוש בחניה יהיה על ידי בעלי הדירות המוצמדות בלבד, על בסיס כל הקודם זוכה.</w:t>
      </w:r>
    </w:p>
    <w:p w14:paraId="578C351A" w14:textId="198BC19A" w:rsidR="009539F2" w:rsidRDefault="009539F2" w:rsidP="009539F2">
      <w:pPr>
        <w:numPr>
          <w:ilvl w:val="0"/>
          <w:numId w:val="15"/>
        </w:numPr>
        <w:spacing w:before="100" w:beforeAutospacing="1" w:after="240" w:line="360" w:lineRule="auto"/>
        <w:ind w:left="340" w:hanging="340"/>
        <w:contextualSpacing w:val="0"/>
        <w:jc w:val="both"/>
      </w:pPr>
      <w:r>
        <w:rPr>
          <w:rFonts w:hint="cs"/>
          <w:rtl/>
        </w:rPr>
        <w:t>על אף הוראותיו הברורות של סעיף 2 לתקנון המוסכם, אביה ז"ל של הנתבעת ובני משפחתה מחנים במשך כ-48 שנים באחת מהחניות המשותפות (שמסומנת היום במס' 17)</w:t>
      </w:r>
      <w:r w:rsidR="004667ED">
        <w:rPr>
          <w:rFonts w:hint="cs"/>
          <w:rtl/>
        </w:rPr>
        <w:t xml:space="preserve"> (להלן: "</w:t>
      </w:r>
      <w:r w:rsidR="004667ED">
        <w:rPr>
          <w:rFonts w:hint="cs"/>
          <w:b/>
          <w:bCs/>
          <w:rtl/>
        </w:rPr>
        <w:t>חניה מס' 17</w:t>
      </w:r>
      <w:r w:rsidR="004667ED">
        <w:rPr>
          <w:rFonts w:hint="cs"/>
          <w:rtl/>
        </w:rPr>
        <w:t>")</w:t>
      </w:r>
      <w:r>
        <w:rPr>
          <w:rFonts w:hint="cs"/>
          <w:rtl/>
        </w:rPr>
        <w:t>, באופן שמונע מבעלי הדירות המוצמדות את השימוש בחניה זו.</w:t>
      </w:r>
    </w:p>
    <w:p w14:paraId="38DE18C9" w14:textId="77777777" w:rsidR="009539F2" w:rsidRPr="00C654EC" w:rsidRDefault="009539F2" w:rsidP="00846C80">
      <w:pPr>
        <w:spacing w:before="100" w:beforeAutospacing="1" w:after="240" w:line="360" w:lineRule="auto"/>
        <w:contextualSpacing w:val="0"/>
        <w:jc w:val="both"/>
        <w:outlineLvl w:val="1"/>
        <w:rPr>
          <w:b/>
          <w:bCs/>
          <w:u w:val="single"/>
        </w:rPr>
      </w:pPr>
      <w:r>
        <w:rPr>
          <w:rFonts w:hint="cs"/>
          <w:b/>
          <w:bCs/>
          <w:u w:val="single"/>
          <w:rtl/>
        </w:rPr>
        <w:t>השתלשלות ההליך</w:t>
      </w:r>
    </w:p>
    <w:p w14:paraId="3B69B7E7" w14:textId="648D4F7B" w:rsidR="009539F2" w:rsidRDefault="009539F2" w:rsidP="00595C4A">
      <w:pPr>
        <w:numPr>
          <w:ilvl w:val="0"/>
          <w:numId w:val="15"/>
        </w:numPr>
        <w:spacing w:before="100" w:beforeAutospacing="1" w:after="240" w:line="360" w:lineRule="auto"/>
        <w:ind w:left="340" w:hanging="340"/>
        <w:contextualSpacing w:val="0"/>
        <w:jc w:val="both"/>
      </w:pPr>
      <w:r>
        <w:rPr>
          <w:rFonts w:hint="cs"/>
          <w:rtl/>
        </w:rPr>
        <w:t xml:space="preserve">ביום 15.9.2024 הוגשה התביעה. בכתב התביעה נטען, לענייננו, </w:t>
      </w:r>
      <w:r w:rsidR="00595C4A">
        <w:rPr>
          <w:rFonts w:hint="cs"/>
          <w:rtl/>
        </w:rPr>
        <w:t>שהנתבעת מחנה</w:t>
      </w:r>
      <w:r>
        <w:rPr>
          <w:rFonts w:hint="cs"/>
          <w:rtl/>
        </w:rPr>
        <w:t xml:space="preserve"> בחניות המשותפות, בניגוד להוראות התקנון המוסכם. משכך התבקש צו להפסקת "השגת הגבול" שמבצע</w:t>
      </w:r>
      <w:r w:rsidR="00595C4A">
        <w:rPr>
          <w:rFonts w:hint="cs"/>
          <w:rtl/>
        </w:rPr>
        <w:t>ת</w:t>
      </w:r>
      <w:r>
        <w:rPr>
          <w:rFonts w:hint="cs"/>
          <w:rtl/>
        </w:rPr>
        <w:t xml:space="preserve"> </w:t>
      </w:r>
      <w:r w:rsidR="00595C4A">
        <w:rPr>
          <w:rFonts w:hint="cs"/>
          <w:rtl/>
        </w:rPr>
        <w:t>הנתבעת</w:t>
      </w:r>
      <w:r>
        <w:rPr>
          <w:rFonts w:hint="cs"/>
          <w:rtl/>
        </w:rPr>
        <w:t xml:space="preserve"> בחניות המשותפות.</w:t>
      </w:r>
    </w:p>
    <w:p w14:paraId="61C0ED6F" w14:textId="0534D3A8" w:rsidR="009539F2" w:rsidRDefault="009539F2" w:rsidP="009539F2">
      <w:pPr>
        <w:numPr>
          <w:ilvl w:val="0"/>
          <w:numId w:val="15"/>
        </w:numPr>
        <w:spacing w:before="100" w:beforeAutospacing="1" w:after="240" w:line="360" w:lineRule="auto"/>
        <w:ind w:left="340" w:hanging="340"/>
        <w:contextualSpacing w:val="0"/>
        <w:jc w:val="both"/>
      </w:pPr>
      <w:r w:rsidRPr="00A77AB6">
        <w:rPr>
          <w:rFonts w:hint="cs"/>
          <w:rtl/>
        </w:rPr>
        <w:t>ביום 14.11.</w:t>
      </w:r>
      <w:r>
        <w:rPr>
          <w:rFonts w:hint="cs"/>
          <w:rtl/>
        </w:rPr>
        <w:t>2024</w:t>
      </w:r>
      <w:r w:rsidRPr="00A77AB6">
        <w:rPr>
          <w:rFonts w:hint="cs"/>
          <w:rtl/>
        </w:rPr>
        <w:t xml:space="preserve"> </w:t>
      </w:r>
      <w:r>
        <w:rPr>
          <w:rFonts w:hint="cs"/>
          <w:rtl/>
        </w:rPr>
        <w:t xml:space="preserve">הגישה הנתבעת בקשה לסילוק התביעה על הסף (מס' בקשה </w:t>
      </w:r>
      <w:r w:rsidRPr="00A77AB6">
        <w:rPr>
          <w:rFonts w:hint="cs"/>
          <w:rtl/>
        </w:rPr>
        <w:t>3/473/2024)</w:t>
      </w:r>
      <w:r>
        <w:rPr>
          <w:rFonts w:hint="cs"/>
          <w:rtl/>
        </w:rPr>
        <w:t xml:space="preserve"> (להלן: "</w:t>
      </w:r>
      <w:r>
        <w:rPr>
          <w:rFonts w:hint="cs"/>
          <w:b/>
          <w:bCs/>
          <w:rtl/>
        </w:rPr>
        <w:t>הבקשה לסילוק על הסף</w:t>
      </w:r>
      <w:r>
        <w:rPr>
          <w:rFonts w:hint="cs"/>
          <w:rtl/>
        </w:rPr>
        <w:t>"), במסגרתה נטען, לענייננו, שיש לדחות את התביעה על הסף מהטעמים הבאים</w:t>
      </w:r>
      <w:r w:rsidRPr="00A77AB6">
        <w:rPr>
          <w:rFonts w:hint="cs"/>
          <w:rtl/>
        </w:rPr>
        <w:t xml:space="preserve">: </w:t>
      </w:r>
      <w:r>
        <w:rPr>
          <w:rFonts w:hint="cs"/>
          <w:rtl/>
        </w:rPr>
        <w:t>(1)</w:t>
      </w:r>
      <w:r>
        <w:rPr>
          <w:rFonts w:hint="cs"/>
        </w:rPr>
        <w:t xml:space="preserve"> </w:t>
      </w:r>
      <w:r w:rsidRPr="00A77AB6">
        <w:rPr>
          <w:rFonts w:hint="cs"/>
          <w:rtl/>
        </w:rPr>
        <w:t>התיישנות</w:t>
      </w:r>
      <w:r>
        <w:rPr>
          <w:rFonts w:hint="cs"/>
          <w:rtl/>
        </w:rPr>
        <w:t xml:space="preserve"> </w:t>
      </w:r>
      <w:r>
        <w:rPr>
          <w:rtl/>
        </w:rPr>
        <w:t>–</w:t>
      </w:r>
      <w:r>
        <w:rPr>
          <w:rFonts w:hint="cs"/>
          <w:rtl/>
        </w:rPr>
        <w:t xml:space="preserve"> לטענת הנתבעת אביה </w:t>
      </w:r>
      <w:r w:rsidR="00595C4A">
        <w:rPr>
          <w:rFonts w:hint="cs"/>
          <w:rtl/>
        </w:rPr>
        <w:t xml:space="preserve">ז"ל </w:t>
      </w:r>
      <w:r>
        <w:rPr>
          <w:rFonts w:hint="cs"/>
          <w:rtl/>
        </w:rPr>
        <w:t xml:space="preserve">ובני משפחתה עשו שימוש רצוף בחניה מס' 17, ובכך נקנתה זיקת הנאה מכוח שנים בחניה זו לטובת דירה 17. ככל שהבנתי נכון את טענת ההתיישנות, הטענה </w:t>
      </w:r>
      <w:r>
        <w:rPr>
          <w:rFonts w:hint="cs"/>
          <w:rtl/>
        </w:rPr>
        <w:lastRenderedPageBreak/>
        <w:t>היא שלאחר 30 שנה מתחילת השימוש בחניה חלה "התיישנות מהותית", שכן נקנתה זיקת הנאה מכוח שנים</w:t>
      </w:r>
      <w:r w:rsidRPr="00A77AB6">
        <w:rPr>
          <w:rFonts w:hint="cs"/>
          <w:rtl/>
        </w:rPr>
        <w:t xml:space="preserve">; </w:t>
      </w:r>
      <w:r>
        <w:rPr>
          <w:rFonts w:hint="cs"/>
          <w:rtl/>
        </w:rPr>
        <w:t xml:space="preserve">(2) היעדר יריבות </w:t>
      </w:r>
      <w:r>
        <w:rPr>
          <w:rtl/>
        </w:rPr>
        <w:t>–</w:t>
      </w:r>
      <w:r>
        <w:rPr>
          <w:rFonts w:hint="cs"/>
          <w:rtl/>
        </w:rPr>
        <w:t xml:space="preserve"> נטען שנציגות הבית המשותף אינה רשאית להגיש את התביעה בנושא זה, וכי היא לא הוסמכה לכך על ידי בעלי הדירות</w:t>
      </w:r>
      <w:r w:rsidRPr="00A77AB6">
        <w:rPr>
          <w:rFonts w:hint="cs"/>
          <w:rtl/>
        </w:rPr>
        <w:t xml:space="preserve">; </w:t>
      </w:r>
      <w:r>
        <w:rPr>
          <w:rFonts w:hint="cs"/>
          <w:rtl/>
        </w:rPr>
        <w:t xml:space="preserve">וכן (3) </w:t>
      </w:r>
      <w:r w:rsidRPr="00A77AB6">
        <w:rPr>
          <w:rFonts w:hint="cs"/>
          <w:rtl/>
        </w:rPr>
        <w:t>היעדר סמכות עניינית</w:t>
      </w:r>
      <w:r>
        <w:rPr>
          <w:rFonts w:hint="cs"/>
          <w:rtl/>
        </w:rPr>
        <w:t xml:space="preserve"> </w:t>
      </w:r>
      <w:r>
        <w:rPr>
          <w:rtl/>
        </w:rPr>
        <w:t>–</w:t>
      </w:r>
      <w:r>
        <w:rPr>
          <w:rFonts w:hint="cs"/>
          <w:rtl/>
        </w:rPr>
        <w:t xml:space="preserve"> נטען שעל-מנת להכריע בתביעה יש להכריע בדבר קיומה של זיקת הנאה מכוח שנים, אולם המפקח על רישום מקרקעין מוסמך להכריע בטענה זו רק בסמכותו הנגררת, שאינה יוצרת מעשה בית דין. ביום 25.11.2024</w:t>
      </w:r>
      <w:r w:rsidRPr="00752204">
        <w:rPr>
          <w:rFonts w:hint="cs"/>
          <w:rtl/>
        </w:rPr>
        <w:t xml:space="preserve"> </w:t>
      </w:r>
      <w:r>
        <w:rPr>
          <w:rFonts w:hint="cs"/>
          <w:rtl/>
        </w:rPr>
        <w:t>הוגשה תגובת התובעת לבקשה לסילוק על הסף, בה ביקשה התובעת לדחות את הבקשה לסילוק על הסף.</w:t>
      </w:r>
    </w:p>
    <w:p w14:paraId="4161B755" w14:textId="77777777" w:rsidR="009539F2" w:rsidRDefault="009539F2" w:rsidP="009539F2">
      <w:pPr>
        <w:numPr>
          <w:ilvl w:val="0"/>
          <w:numId w:val="15"/>
        </w:numPr>
        <w:spacing w:before="100" w:beforeAutospacing="1" w:after="240" w:line="360" w:lineRule="auto"/>
        <w:ind w:left="340" w:hanging="340"/>
        <w:contextualSpacing w:val="0"/>
        <w:jc w:val="both"/>
      </w:pPr>
      <w:r w:rsidRPr="00617387">
        <w:rPr>
          <w:rFonts w:hint="cs"/>
          <w:rtl/>
        </w:rPr>
        <w:t>ביום 29.12.202</w:t>
      </w:r>
      <w:r>
        <w:rPr>
          <w:rFonts w:hint="cs"/>
          <w:rtl/>
        </w:rPr>
        <w:t>4</w:t>
      </w:r>
      <w:r w:rsidRPr="00617387">
        <w:rPr>
          <w:rFonts w:hint="cs"/>
          <w:rtl/>
        </w:rPr>
        <w:t xml:space="preserve"> הוגש כתב הגנה מטעם </w:t>
      </w:r>
      <w:r>
        <w:rPr>
          <w:rFonts w:hint="cs"/>
          <w:rtl/>
        </w:rPr>
        <w:t>הנתבעת</w:t>
      </w:r>
      <w:r w:rsidRPr="00617387">
        <w:rPr>
          <w:rFonts w:hint="cs"/>
          <w:rtl/>
        </w:rPr>
        <w:t>.</w:t>
      </w:r>
      <w:r>
        <w:rPr>
          <w:rFonts w:hint="cs"/>
          <w:rtl/>
        </w:rPr>
        <w:t xml:space="preserve"> בכתב ההגנה חזרה הנתבעת על טענותיה המקדמיות מהבקשה לסילוק על הסף. לגופם של דברים, נטען שבמשך כ-48 שנים עושה משפחתה של הנתבעת שימוש בחניה מס' 17, ובכל אותן השנים לא נעשתה כל פניה למי ממשפחתה בדבר השימוש בחניה. נטען ששימוש ארוך שנים זה הקנה זיקת הנאה בחניה מס' 17 לטובת דירה 17. כן נטען, שככל שיוחלט על ביטול זיקת ההנאה יש לפסוק לנתבעת פיצוי, בהתאם להוראות סעיף 96 לחוק המקרקעין, התשכ"ט-1969 (להלן: "</w:t>
      </w:r>
      <w:r w:rsidRPr="00982338">
        <w:rPr>
          <w:rFonts w:hint="cs"/>
          <w:b/>
          <w:bCs/>
          <w:rtl/>
        </w:rPr>
        <w:t>חוק המקרקעין</w:t>
      </w:r>
      <w:r>
        <w:rPr>
          <w:rFonts w:hint="cs"/>
          <w:rtl/>
        </w:rPr>
        <w:t>").</w:t>
      </w:r>
    </w:p>
    <w:p w14:paraId="5CC302F5" w14:textId="218EE626" w:rsidR="009539F2" w:rsidRPr="009C5D7C" w:rsidRDefault="009539F2" w:rsidP="009539F2">
      <w:pPr>
        <w:pStyle w:val="ac"/>
        <w:numPr>
          <w:ilvl w:val="0"/>
          <w:numId w:val="15"/>
        </w:numPr>
        <w:spacing w:before="100" w:beforeAutospacing="1" w:after="240" w:line="360" w:lineRule="auto"/>
        <w:ind w:left="340" w:hanging="340"/>
        <w:contextualSpacing w:val="0"/>
        <w:jc w:val="both"/>
        <w:rPr>
          <w:rFonts w:eastAsia="Calibri"/>
        </w:rPr>
      </w:pPr>
      <w:r>
        <w:rPr>
          <w:rFonts w:hint="cs"/>
          <w:rtl/>
        </w:rPr>
        <w:t xml:space="preserve">ביום 24.2.2025 התקיים דיון קדם משפט ראשון. בסופו של הדיון </w:t>
      </w:r>
      <w:r w:rsidRPr="009C5D7C">
        <w:rPr>
          <w:rFonts w:eastAsia="Calibri" w:hint="cs"/>
          <w:rtl/>
        </w:rPr>
        <w:t xml:space="preserve">הוצע לצדדים </w:t>
      </w:r>
      <w:r>
        <w:rPr>
          <w:rFonts w:eastAsia="Calibri" w:hint="cs"/>
          <w:rtl/>
        </w:rPr>
        <w:t>לסיים את המחלוקת בהסכמה. בין היתר, הוצע שבעלי הדירות המוצמדות יסכימו לכך ש</w:t>
      </w:r>
      <w:r w:rsidR="00595C4A">
        <w:rPr>
          <w:rFonts w:eastAsia="Calibri" w:hint="cs"/>
          <w:rtl/>
        </w:rPr>
        <w:t xml:space="preserve">הנתבעת תוכל </w:t>
      </w:r>
      <w:r>
        <w:rPr>
          <w:rFonts w:eastAsia="Calibri" w:hint="cs"/>
          <w:rtl/>
        </w:rPr>
        <w:t>גם ה</w:t>
      </w:r>
      <w:r w:rsidR="00595C4A">
        <w:rPr>
          <w:rFonts w:eastAsia="Calibri" w:hint="cs"/>
          <w:rtl/>
        </w:rPr>
        <w:t>יא</w:t>
      </w:r>
      <w:r>
        <w:rPr>
          <w:rFonts w:eastAsia="Calibri" w:hint="cs"/>
          <w:rtl/>
        </w:rPr>
        <w:t xml:space="preserve"> לחנות בחניות המשותפות על בסיס מקום פנוי, </w:t>
      </w:r>
      <w:r w:rsidR="00595C4A">
        <w:rPr>
          <w:rFonts w:eastAsia="Calibri" w:hint="cs"/>
          <w:rtl/>
        </w:rPr>
        <w:t xml:space="preserve">והיא תוותר על טענתה </w:t>
      </w:r>
      <w:r>
        <w:rPr>
          <w:rFonts w:eastAsia="Calibri" w:hint="cs"/>
          <w:rtl/>
        </w:rPr>
        <w:t xml:space="preserve">לזיקת הנאה שמקנה לה זכות </w:t>
      </w:r>
      <w:r w:rsidR="00595C4A">
        <w:rPr>
          <w:rFonts w:eastAsia="Calibri" w:hint="cs"/>
          <w:rtl/>
        </w:rPr>
        <w:t xml:space="preserve">ייחודית </w:t>
      </w:r>
      <w:r>
        <w:rPr>
          <w:rFonts w:eastAsia="Calibri" w:hint="cs"/>
          <w:rtl/>
        </w:rPr>
        <w:t xml:space="preserve">בחניה </w:t>
      </w:r>
      <w:r w:rsidR="00595C4A">
        <w:rPr>
          <w:rFonts w:eastAsia="Calibri" w:hint="cs"/>
          <w:rtl/>
        </w:rPr>
        <w:t>מס' 17</w:t>
      </w:r>
      <w:r>
        <w:rPr>
          <w:rFonts w:eastAsia="Calibri" w:hint="cs"/>
          <w:rtl/>
        </w:rPr>
        <w:t>, שגוברת על זכותם של בעלי הדירות המוצמדות (ראו: החלטה בעמוד 10 לפרוטוקול הדיון מיום 24.2.2025)</w:t>
      </w:r>
      <w:r w:rsidRPr="009C5D7C">
        <w:rPr>
          <w:rFonts w:eastAsia="Calibri" w:hint="cs"/>
          <w:rtl/>
        </w:rPr>
        <w:t>.</w:t>
      </w:r>
    </w:p>
    <w:p w14:paraId="40554AFE" w14:textId="036DDA1E" w:rsidR="009539F2" w:rsidRDefault="009539F2" w:rsidP="009539F2">
      <w:pPr>
        <w:pStyle w:val="ac"/>
        <w:numPr>
          <w:ilvl w:val="0"/>
          <w:numId w:val="15"/>
        </w:numPr>
        <w:spacing w:before="100" w:beforeAutospacing="1" w:after="240" w:line="360" w:lineRule="auto"/>
        <w:ind w:left="340" w:hanging="340"/>
        <w:contextualSpacing w:val="0"/>
        <w:jc w:val="both"/>
      </w:pPr>
      <w:r w:rsidRPr="00A41DF7">
        <w:rPr>
          <w:rFonts w:eastAsia="Calibri" w:hint="cs"/>
          <w:rtl/>
        </w:rPr>
        <w:t xml:space="preserve">ביום 12.3.2025 </w:t>
      </w:r>
      <w:r w:rsidR="00595C4A">
        <w:rPr>
          <w:rFonts w:eastAsia="Calibri" w:hint="cs"/>
          <w:rtl/>
        </w:rPr>
        <w:t xml:space="preserve">הגישה </w:t>
      </w:r>
      <w:r>
        <w:rPr>
          <w:rFonts w:eastAsia="Calibri" w:hint="cs"/>
          <w:rtl/>
        </w:rPr>
        <w:t>התובעת</w:t>
      </w:r>
      <w:r w:rsidR="00595C4A">
        <w:rPr>
          <w:rFonts w:eastAsia="Calibri" w:hint="cs"/>
          <w:rtl/>
        </w:rPr>
        <w:t xml:space="preserve"> הודעה,</w:t>
      </w:r>
      <w:r w:rsidRPr="00A41DF7">
        <w:rPr>
          <w:rFonts w:eastAsia="Calibri" w:hint="cs"/>
          <w:rtl/>
        </w:rPr>
        <w:t xml:space="preserve"> ממנה עלה </w:t>
      </w:r>
      <w:r>
        <w:rPr>
          <w:rFonts w:eastAsia="Calibri" w:hint="cs"/>
          <w:rtl/>
        </w:rPr>
        <w:t>ש</w:t>
      </w:r>
      <w:r w:rsidRPr="00A41DF7">
        <w:rPr>
          <w:rFonts w:eastAsia="Calibri" w:hint="cs"/>
          <w:rtl/>
        </w:rPr>
        <w:t>לא הושגו הסכמות בדבר סיום ההליך ללא הכרעה. בהתאם לכך נקבע התיק לדיון קדם משפט נוסף</w:t>
      </w:r>
      <w:r>
        <w:rPr>
          <w:rFonts w:hint="cs"/>
          <w:rtl/>
        </w:rPr>
        <w:t xml:space="preserve">, שנערך ביום 24.3.2025 ובסופו נקבע התיק להוכחות. </w:t>
      </w:r>
    </w:p>
    <w:p w14:paraId="232AD1E2" w14:textId="77777777" w:rsidR="009539F2" w:rsidRDefault="009539F2" w:rsidP="009539F2">
      <w:pPr>
        <w:numPr>
          <w:ilvl w:val="0"/>
          <w:numId w:val="15"/>
        </w:numPr>
        <w:spacing w:before="100" w:beforeAutospacing="1" w:after="240" w:line="360" w:lineRule="auto"/>
        <w:ind w:left="340" w:hanging="340"/>
        <w:contextualSpacing w:val="0"/>
        <w:jc w:val="both"/>
      </w:pPr>
      <w:r>
        <w:rPr>
          <w:rFonts w:hint="cs"/>
          <w:rtl/>
        </w:rPr>
        <w:t xml:space="preserve">בהתאם להחלטתי הגישו הצדדים תצהירי עדות ראשית. מטעם התובעת הוגש תצהירה של גב' זיווה </w:t>
      </w:r>
      <w:proofErr w:type="spellStart"/>
      <w:r>
        <w:rPr>
          <w:rFonts w:hint="cs"/>
          <w:rtl/>
        </w:rPr>
        <w:t>קיומוב</w:t>
      </w:r>
      <w:proofErr w:type="spellEnd"/>
      <w:r>
        <w:rPr>
          <w:rFonts w:hint="cs"/>
          <w:rtl/>
        </w:rPr>
        <w:t>, חברת הנציגות (להלן: "</w:t>
      </w:r>
      <w:r>
        <w:rPr>
          <w:rFonts w:hint="cs"/>
          <w:b/>
          <w:bCs/>
          <w:rtl/>
        </w:rPr>
        <w:t xml:space="preserve">גב' </w:t>
      </w:r>
      <w:proofErr w:type="spellStart"/>
      <w:r>
        <w:rPr>
          <w:rFonts w:hint="cs"/>
          <w:b/>
          <w:bCs/>
          <w:rtl/>
        </w:rPr>
        <w:t>קיומוב</w:t>
      </w:r>
      <w:proofErr w:type="spellEnd"/>
      <w:r>
        <w:rPr>
          <w:rFonts w:hint="cs"/>
          <w:rtl/>
        </w:rPr>
        <w:t xml:space="preserve">"); מטעם הנתבעת הוגשו תצהיריהם של הנתבעת, של מר צוף, של גב' דליה גולן (בעלת זכויות בתת חלקה 25 בבית המשותף), של גב' רות לב-ארי (חברתה לעבודה של אמה המנוחה של הנתבעת) ושל מר הרצל כהן אמין (בעלה של הנתבעת). </w:t>
      </w:r>
    </w:p>
    <w:p w14:paraId="3CC29C40" w14:textId="77777777" w:rsidR="009539F2" w:rsidRDefault="009539F2" w:rsidP="009539F2">
      <w:pPr>
        <w:numPr>
          <w:ilvl w:val="0"/>
          <w:numId w:val="15"/>
        </w:numPr>
        <w:spacing w:before="100" w:beforeAutospacing="1" w:after="240" w:line="360" w:lineRule="auto"/>
        <w:ind w:left="340" w:hanging="340"/>
        <w:contextualSpacing w:val="0"/>
        <w:jc w:val="both"/>
      </w:pPr>
      <w:r>
        <w:rPr>
          <w:rFonts w:hint="cs"/>
          <w:rtl/>
        </w:rPr>
        <w:t xml:space="preserve">ביום 17.7.2025 התקיים דיון הוכחות. לבקשת הצדדים לא נערכו סיכומים בעל-פה, וחלף זאת ניתנו הוראות בדבר הגשת סיכומים בכתב. </w:t>
      </w:r>
    </w:p>
    <w:p w14:paraId="430D2F20" w14:textId="77777777" w:rsidR="009C5B4E" w:rsidRDefault="009C5B4E" w:rsidP="009539F2">
      <w:pPr>
        <w:spacing w:before="100" w:beforeAutospacing="1" w:after="240" w:line="360" w:lineRule="auto"/>
        <w:contextualSpacing w:val="0"/>
        <w:jc w:val="both"/>
        <w:rPr>
          <w:b/>
          <w:bCs/>
          <w:u w:val="single"/>
          <w:rtl/>
        </w:rPr>
      </w:pPr>
    </w:p>
    <w:p w14:paraId="10F1123A" w14:textId="23BA7452" w:rsidR="009539F2" w:rsidRPr="00230906" w:rsidRDefault="009539F2" w:rsidP="00846C80">
      <w:pPr>
        <w:spacing w:before="100" w:beforeAutospacing="1" w:after="240" w:line="360" w:lineRule="auto"/>
        <w:contextualSpacing w:val="0"/>
        <w:jc w:val="both"/>
        <w:outlineLvl w:val="1"/>
        <w:rPr>
          <w:b/>
          <w:bCs/>
          <w:u w:val="single"/>
        </w:rPr>
      </w:pPr>
      <w:r>
        <w:rPr>
          <w:rFonts w:hint="cs"/>
          <w:b/>
          <w:bCs/>
          <w:u w:val="single"/>
          <w:rtl/>
        </w:rPr>
        <w:t>טענות הצדדים בסיכומיהם</w:t>
      </w:r>
    </w:p>
    <w:p w14:paraId="0B54FFC8" w14:textId="77777777" w:rsidR="009539F2" w:rsidRDefault="009539F2" w:rsidP="009539F2">
      <w:pPr>
        <w:numPr>
          <w:ilvl w:val="0"/>
          <w:numId w:val="15"/>
        </w:numPr>
        <w:spacing w:before="100" w:beforeAutospacing="1" w:after="240" w:line="360" w:lineRule="auto"/>
        <w:ind w:left="340" w:hanging="340"/>
        <w:contextualSpacing w:val="0"/>
        <w:jc w:val="both"/>
      </w:pPr>
      <w:r>
        <w:rPr>
          <w:rFonts w:hint="cs"/>
          <w:rtl/>
        </w:rPr>
        <w:lastRenderedPageBreak/>
        <w:t xml:space="preserve">ביום 11.8.2025 הוגשו סיכומי התובעת, בהם נטען כדלקמן: אין מחלוקת שלנתבעת אין זכות קניינית רשומה בחניות המשותפות. כמו כן, לא התקיימו התנאים שנקבעו בפסיקה להשתכללות זיקת הנאה מכוח שנים, בין היתר, שכן השימוש שעושה הנתבעת בחניות המשותפות שולל את זכותם של בעלי הדירות המוצמדות בחניות המשותפות. נטען שלכל היותר לנתבעת יש רשות שימוש מכללא בחניות המשותפות, אשר ניתנת לביטול בכל עת. נוכח האמור ביקשה התובעת לקבל את התביעה במלואה, להורות לנתבעת לסלק ידה מהחניות המשותפות, ולחייב את הנתבעת בהוצאות משפט ובשכר טרחת עורך דין. </w:t>
      </w:r>
    </w:p>
    <w:p w14:paraId="56E564C9" w14:textId="76383A88" w:rsidR="009539F2" w:rsidRDefault="009539F2" w:rsidP="009539F2">
      <w:pPr>
        <w:numPr>
          <w:ilvl w:val="0"/>
          <w:numId w:val="15"/>
        </w:numPr>
        <w:spacing w:before="100" w:beforeAutospacing="1" w:after="240" w:line="360" w:lineRule="auto"/>
        <w:ind w:left="340" w:hanging="340"/>
        <w:contextualSpacing w:val="0"/>
        <w:jc w:val="both"/>
      </w:pPr>
      <w:r>
        <w:rPr>
          <w:rFonts w:hint="cs"/>
          <w:rtl/>
        </w:rPr>
        <w:t xml:space="preserve">ביום 12.10.2025 הוגשו סיכומי הנתבעת. בסיכומיה טענה הנתבעת שיש לדחות את התביעה על הסף מהטעמים שהוצגו בבקשה לסילוק על הסף, וכן מהטעם של שיהוי, טענה שלא נטענה עד לסיכומים. לגופם של דברים, נטען שהוכח שמשפחתה של הנתבעת משתמשת בחניות המשותפות באופן רציף מאז הוקם הבית המשותף, לפני כ-48 שנים. בניגוד לטענותיה בהליך עד לשלב הסיכומים, הנתבעת טענה לראשונה בסיכומיה, שהשימוש נעשה לא בחניה מס' 17 דווקא, אלא על בסיס מקום פנוי בכלל החניות המשותפות. בהתאם לכך השתנתה גם טענתה המהותית של הנתבעת. מטענה לזיקת הנאה </w:t>
      </w:r>
      <w:r w:rsidR="00595C4A">
        <w:rPr>
          <w:rFonts w:hint="cs"/>
          <w:rtl/>
        </w:rPr>
        <w:t>לטובת דירה 17, שמקנה לבעל הזכויות בה</w:t>
      </w:r>
      <w:r>
        <w:rPr>
          <w:rFonts w:hint="cs"/>
          <w:rtl/>
        </w:rPr>
        <w:t xml:space="preserve"> זכות שימוש ייחודית בחניה מס' 17, השתנתה הטענה לזיקת הנאה </w:t>
      </w:r>
      <w:r w:rsidR="00595C4A">
        <w:rPr>
          <w:rFonts w:hint="cs"/>
          <w:rtl/>
        </w:rPr>
        <w:t xml:space="preserve">שמקנה לדירה 17 זכות </w:t>
      </w:r>
      <w:r>
        <w:rPr>
          <w:rFonts w:hint="cs"/>
          <w:rtl/>
        </w:rPr>
        <w:t>לחניה על בסיס מקום פנוי בחניות המשותפות. מכיוון שכך נטען שיש לדחות את התביעה לסילוק יד, ולחייב את התובעת בהוצאות משפט בסך 35,400 ש"ח.</w:t>
      </w:r>
    </w:p>
    <w:p w14:paraId="395857A6" w14:textId="77777777" w:rsidR="009539F2" w:rsidRDefault="009539F2" w:rsidP="009539F2">
      <w:pPr>
        <w:pStyle w:val="ac"/>
        <w:numPr>
          <w:ilvl w:val="0"/>
          <w:numId w:val="15"/>
        </w:numPr>
        <w:spacing w:before="100" w:beforeAutospacing="1" w:after="240" w:line="360" w:lineRule="auto"/>
        <w:contextualSpacing w:val="0"/>
        <w:jc w:val="both"/>
      </w:pPr>
      <w:r w:rsidRPr="00B04D7C">
        <w:rPr>
          <w:rFonts w:hint="cs"/>
          <w:rtl/>
        </w:rPr>
        <w:t xml:space="preserve">ביום 30.10.2025 הוגשו סיכומי תשובה מטעם </w:t>
      </w:r>
      <w:r>
        <w:rPr>
          <w:rFonts w:hint="cs"/>
          <w:rtl/>
        </w:rPr>
        <w:t>התובעת</w:t>
      </w:r>
      <w:r w:rsidRPr="00B04D7C">
        <w:rPr>
          <w:rFonts w:hint="cs"/>
          <w:rtl/>
        </w:rPr>
        <w:t>.</w:t>
      </w:r>
    </w:p>
    <w:p w14:paraId="0D2752F9" w14:textId="77777777" w:rsidR="009539F2" w:rsidRDefault="009539F2" w:rsidP="00846C80">
      <w:pPr>
        <w:spacing w:before="100" w:beforeAutospacing="1" w:after="240" w:line="360" w:lineRule="auto"/>
        <w:ind w:left="340" w:hanging="340"/>
        <w:contextualSpacing w:val="0"/>
        <w:jc w:val="both"/>
        <w:outlineLvl w:val="1"/>
        <w:rPr>
          <w:b/>
          <w:bCs/>
          <w:u w:val="single"/>
          <w:rtl/>
        </w:rPr>
      </w:pPr>
      <w:r>
        <w:rPr>
          <w:b/>
          <w:bCs/>
          <w:u w:val="single"/>
          <w:rtl/>
        </w:rPr>
        <w:t xml:space="preserve">דיון והכרעה </w:t>
      </w:r>
    </w:p>
    <w:p w14:paraId="38A6E1DD" w14:textId="79786572" w:rsidR="009539F2" w:rsidRPr="00863916" w:rsidRDefault="009539F2" w:rsidP="009539F2">
      <w:pPr>
        <w:pStyle w:val="ac"/>
        <w:numPr>
          <w:ilvl w:val="0"/>
          <w:numId w:val="15"/>
        </w:numPr>
        <w:spacing w:before="100" w:beforeAutospacing="1" w:after="240" w:line="360" w:lineRule="auto"/>
        <w:contextualSpacing w:val="0"/>
        <w:jc w:val="both"/>
        <w:rPr>
          <w:b/>
          <w:bCs/>
          <w:u w:val="single"/>
        </w:rPr>
      </w:pPr>
      <w:r>
        <w:rPr>
          <w:rFonts w:hint="cs"/>
          <w:rtl/>
        </w:rPr>
        <w:t xml:space="preserve">אקדים הכרעה לדיון </w:t>
      </w:r>
      <w:r>
        <w:rPr>
          <w:rtl/>
        </w:rPr>
        <w:t>–</w:t>
      </w:r>
      <w:r>
        <w:rPr>
          <w:rFonts w:hint="cs"/>
          <w:rtl/>
        </w:rPr>
        <w:t xml:space="preserve"> דין התביעה להתקבל ויש להורות על סילוק ידה של הנתבעת מהחניות המשותפות. הסיבה לכך היא שבהתאם לפסיקה לא ניתן לקנות זיקת הנאה בחניה ספציפית, ואף לא ניתן </w:t>
      </w:r>
      <w:r w:rsidR="00FA41DF">
        <w:rPr>
          <w:rFonts w:hint="cs"/>
          <w:rtl/>
        </w:rPr>
        <w:t xml:space="preserve">לקנות זיקת הנאה, באופן שמקנה זכות לחניה </w:t>
      </w:r>
      <w:r>
        <w:rPr>
          <w:rFonts w:hint="cs"/>
          <w:rtl/>
        </w:rPr>
        <w:t xml:space="preserve">על בסיס מקום פנוי מתוך מאגר מצומצם של חניות. </w:t>
      </w:r>
    </w:p>
    <w:p w14:paraId="7533B918" w14:textId="4AAF83F0" w:rsidR="009539F2" w:rsidRPr="00863916" w:rsidRDefault="009539F2" w:rsidP="009539F2">
      <w:pPr>
        <w:pStyle w:val="ac"/>
        <w:numPr>
          <w:ilvl w:val="0"/>
          <w:numId w:val="15"/>
        </w:numPr>
        <w:spacing w:before="100" w:beforeAutospacing="1" w:after="240" w:line="360" w:lineRule="auto"/>
        <w:contextualSpacing w:val="0"/>
        <w:jc w:val="both"/>
        <w:rPr>
          <w:b/>
          <w:bCs/>
          <w:u w:val="single"/>
          <w:rtl/>
        </w:rPr>
      </w:pPr>
      <w:r>
        <w:rPr>
          <w:rFonts w:hint="cs"/>
          <w:rtl/>
        </w:rPr>
        <w:t xml:space="preserve">דרך הילוכי תהיה כדלקמן: תחילה אעמוד על טענותיה המקדמיות של הנתבעת; לאחר מכן אציג את התשתית הנורמטיבית ביחס לקניית זיקת הנאה מכוח שנים בחניה; </w:t>
      </w:r>
      <w:r w:rsidR="00FA41DF">
        <w:rPr>
          <w:rFonts w:hint="cs"/>
          <w:rtl/>
        </w:rPr>
        <w:t>לבסוף</w:t>
      </w:r>
      <w:r>
        <w:rPr>
          <w:rFonts w:hint="cs"/>
          <w:rtl/>
        </w:rPr>
        <w:t xml:space="preserve"> אבחן את המקרה שלפניי, תוך שאתייחס לשינוי החזית שנעשה על ידי הנתבעת במסגרת סיכומיה. </w:t>
      </w:r>
    </w:p>
    <w:p w14:paraId="51B85D1C" w14:textId="77777777" w:rsidR="003606E3" w:rsidRDefault="003606E3" w:rsidP="009539F2">
      <w:pPr>
        <w:spacing w:before="100" w:beforeAutospacing="1" w:after="240" w:line="360" w:lineRule="auto"/>
        <w:contextualSpacing w:val="0"/>
        <w:jc w:val="both"/>
        <w:rPr>
          <w:b/>
          <w:bCs/>
          <w:sz w:val="24"/>
          <w:u w:val="single"/>
          <w:rtl/>
        </w:rPr>
      </w:pPr>
    </w:p>
    <w:p w14:paraId="5C50B771" w14:textId="65CF0324" w:rsidR="009539F2" w:rsidRPr="0034453D" w:rsidRDefault="009539F2" w:rsidP="00846C80">
      <w:pPr>
        <w:spacing w:before="100" w:beforeAutospacing="1" w:after="240" w:line="360" w:lineRule="auto"/>
        <w:contextualSpacing w:val="0"/>
        <w:jc w:val="both"/>
        <w:outlineLvl w:val="1"/>
        <w:rPr>
          <w:b/>
          <w:bCs/>
          <w:sz w:val="24"/>
          <w:u w:val="single"/>
        </w:rPr>
      </w:pPr>
      <w:r>
        <w:rPr>
          <w:rFonts w:hint="cs"/>
          <w:b/>
          <w:bCs/>
          <w:sz w:val="24"/>
          <w:u w:val="single"/>
          <w:rtl/>
        </w:rPr>
        <w:t>בחינת טענותיה המקדמיות של הנתבעת: התיישנות, שיהוי, היעדר סמכות עניינית, וייצוג ללא הרשאה</w:t>
      </w:r>
    </w:p>
    <w:p w14:paraId="1F9A4F48" w14:textId="77777777" w:rsidR="009539F2" w:rsidRPr="00571CA8" w:rsidRDefault="009539F2" w:rsidP="009539F2">
      <w:pPr>
        <w:pStyle w:val="ac"/>
        <w:numPr>
          <w:ilvl w:val="0"/>
          <w:numId w:val="15"/>
        </w:numPr>
        <w:spacing w:before="100" w:beforeAutospacing="1" w:after="240" w:line="360" w:lineRule="auto"/>
        <w:contextualSpacing w:val="0"/>
        <w:jc w:val="both"/>
        <w:rPr>
          <w:sz w:val="24"/>
          <w:rtl/>
        </w:rPr>
      </w:pPr>
      <w:r w:rsidRPr="00860461">
        <w:rPr>
          <w:rFonts w:hint="cs"/>
          <w:b/>
          <w:bCs/>
          <w:sz w:val="24"/>
          <w:rtl/>
        </w:rPr>
        <w:lastRenderedPageBreak/>
        <w:t>לטענת ההתיישנות</w:t>
      </w:r>
      <w:r>
        <w:rPr>
          <w:rFonts w:hint="cs"/>
          <w:sz w:val="24"/>
          <w:rtl/>
        </w:rPr>
        <w:t xml:space="preserve">. ככל שהבנתי נכון, טענת הנתבעת היא שמרגע שנקנתה זיקת הנאה מכוח שנים, אין עוד זכות לתבוע סילוק יד, ומכיוון שכך התביעה לסילוק יד התיישנה. טענה זו אינה טענת התיישנות, אלא טענה לגופם של דברים בדבר זיקת ההנאה. ככל שייקבע שבידי הנתבעת זיקת הנאה, הרי שהתביעה תידחה לא משום שהתיישנה, אלא משום שהנתבעת זכאית לעשות שימוש בחניות המשותפות. ככל שייקבע שאין בידי הנתבעת זיקת הנאה, הרי שאין משמעות לכך שהיא או משפחתה משתמשים שלא כדין בחניה כבר למעלה מ-30 שנים, שכן בהתאם להוראות סעיף 159(ב) לחוק המקרקעין, טענת התיישנות אינה טענת הגנה בתביעה לסילוק יד במקרקעין מוסדרים (ראו: </w:t>
      </w:r>
      <w:r w:rsidRPr="00D059E0">
        <w:rPr>
          <w:sz w:val="24"/>
          <w:rtl/>
        </w:rPr>
        <w:t xml:space="preserve">ע"א 7744/12 </w:t>
      </w:r>
      <w:proofErr w:type="spellStart"/>
      <w:r w:rsidRPr="00D059E0">
        <w:rPr>
          <w:b/>
          <w:bCs/>
          <w:sz w:val="24"/>
          <w:rtl/>
        </w:rPr>
        <w:t>שעלאן</w:t>
      </w:r>
      <w:proofErr w:type="spellEnd"/>
      <w:r w:rsidRPr="00D059E0">
        <w:rPr>
          <w:b/>
          <w:bCs/>
          <w:sz w:val="24"/>
          <w:rtl/>
        </w:rPr>
        <w:t xml:space="preserve"> נ' מדינת ישראל</w:t>
      </w:r>
      <w:r>
        <w:rPr>
          <w:rFonts w:hint="cs"/>
          <w:sz w:val="24"/>
          <w:rtl/>
        </w:rPr>
        <w:t>, פס' 16 והאסמכתאות שם</w:t>
      </w:r>
      <w:r w:rsidRPr="00D059E0">
        <w:rPr>
          <w:sz w:val="24"/>
          <w:rtl/>
        </w:rPr>
        <w:t xml:space="preserve"> (14.8.2014)</w:t>
      </w:r>
      <w:r>
        <w:rPr>
          <w:rFonts w:hint="cs"/>
          <w:sz w:val="24"/>
          <w:rtl/>
        </w:rPr>
        <w:t xml:space="preserve">). </w:t>
      </w:r>
      <w:r w:rsidRPr="004964E9">
        <w:rPr>
          <w:rFonts w:hint="cs"/>
          <w:b/>
          <w:bCs/>
          <w:sz w:val="24"/>
          <w:rtl/>
        </w:rPr>
        <w:t>כללם של דברים, הטענה בעניין התיישנות נדחית</w:t>
      </w:r>
      <w:r>
        <w:rPr>
          <w:rFonts w:hint="cs"/>
          <w:sz w:val="24"/>
          <w:rtl/>
        </w:rPr>
        <w:t>.</w:t>
      </w:r>
    </w:p>
    <w:p w14:paraId="7DE03FD7" w14:textId="77777777" w:rsidR="009539F2" w:rsidRDefault="009539F2" w:rsidP="00846C80">
      <w:pPr>
        <w:numPr>
          <w:ilvl w:val="0"/>
          <w:numId w:val="15"/>
        </w:numPr>
        <w:tabs>
          <w:tab w:val="center" w:pos="6994"/>
        </w:tabs>
        <w:spacing w:before="100" w:beforeAutospacing="1" w:after="240" w:line="360" w:lineRule="auto"/>
        <w:contextualSpacing w:val="0"/>
        <w:jc w:val="both"/>
        <w:rPr>
          <w:rFonts w:eastAsia="Calibri"/>
          <w:sz w:val="28"/>
        </w:rPr>
      </w:pPr>
      <w:r>
        <w:rPr>
          <w:rFonts w:eastAsia="Calibri" w:hint="cs"/>
          <w:b/>
          <w:bCs/>
          <w:sz w:val="28"/>
          <w:rtl/>
        </w:rPr>
        <w:t>לטענת השיהוי</w:t>
      </w:r>
      <w:r>
        <w:rPr>
          <w:rFonts w:eastAsia="Calibri" w:hint="cs"/>
          <w:sz w:val="28"/>
          <w:rtl/>
        </w:rPr>
        <w:t xml:space="preserve">. טענת השיהוי נטענה באופן כללי, מבלי להתייחס לתנאים שנקבעו בפסיקה להוכחת קיומו של שיהוי במשפט אזרחי (ראו, למשל: </w:t>
      </w:r>
      <w:r w:rsidRPr="00860461">
        <w:rPr>
          <w:rFonts w:eastAsia="Calibri"/>
          <w:sz w:val="28"/>
          <w:rtl/>
        </w:rPr>
        <w:t xml:space="preserve">רע"א 5793/05 </w:t>
      </w:r>
      <w:r w:rsidRPr="00860461">
        <w:rPr>
          <w:rFonts w:eastAsia="Calibri"/>
          <w:b/>
          <w:bCs/>
          <w:sz w:val="28"/>
          <w:rtl/>
        </w:rPr>
        <w:t>אגודת בית הכנסת הגדול "שונה הלכות" נ' עירי</w:t>
      </w:r>
      <w:r>
        <w:rPr>
          <w:rFonts w:eastAsia="Calibri" w:hint="cs"/>
          <w:b/>
          <w:bCs/>
          <w:sz w:val="28"/>
          <w:rtl/>
        </w:rPr>
        <w:t>י</w:t>
      </w:r>
      <w:r w:rsidRPr="00860461">
        <w:rPr>
          <w:rFonts w:eastAsia="Calibri"/>
          <w:b/>
          <w:bCs/>
          <w:sz w:val="28"/>
          <w:rtl/>
        </w:rPr>
        <w:t>ת נתניה</w:t>
      </w:r>
      <w:r>
        <w:rPr>
          <w:rFonts w:eastAsia="Calibri" w:hint="cs"/>
          <w:sz w:val="28"/>
          <w:rtl/>
        </w:rPr>
        <w:t>, פס' 6</w:t>
      </w:r>
      <w:r w:rsidRPr="00860461">
        <w:rPr>
          <w:rFonts w:eastAsia="Calibri"/>
          <w:sz w:val="28"/>
          <w:rtl/>
        </w:rPr>
        <w:t xml:space="preserve"> (11.9.2007)</w:t>
      </w:r>
      <w:r>
        <w:rPr>
          <w:rFonts w:eastAsia="Calibri" w:hint="cs"/>
          <w:sz w:val="28"/>
          <w:rtl/>
        </w:rPr>
        <w:t xml:space="preserve">). משהנתבעת לא הרחיבה בנושא זה וטענה לו בכלליות, </w:t>
      </w:r>
      <w:r w:rsidRPr="004964E9">
        <w:rPr>
          <w:rFonts w:eastAsia="Calibri" w:hint="cs"/>
          <w:b/>
          <w:bCs/>
          <w:sz w:val="28"/>
          <w:rtl/>
        </w:rPr>
        <w:t>הטענה בעניין השיהוי נדחית</w:t>
      </w:r>
      <w:r>
        <w:rPr>
          <w:rFonts w:eastAsia="Calibri" w:hint="cs"/>
          <w:sz w:val="28"/>
          <w:rtl/>
        </w:rPr>
        <w:t xml:space="preserve">. </w:t>
      </w:r>
    </w:p>
    <w:p w14:paraId="1EFE0E46" w14:textId="77777777" w:rsidR="009539F2" w:rsidRDefault="009539F2" w:rsidP="00846C80">
      <w:pPr>
        <w:numPr>
          <w:ilvl w:val="0"/>
          <w:numId w:val="15"/>
        </w:numPr>
        <w:tabs>
          <w:tab w:val="center" w:pos="6994"/>
        </w:tabs>
        <w:spacing w:before="100" w:beforeAutospacing="1" w:after="240" w:line="360" w:lineRule="auto"/>
        <w:contextualSpacing w:val="0"/>
        <w:jc w:val="both"/>
        <w:rPr>
          <w:rFonts w:eastAsia="Calibri"/>
          <w:sz w:val="28"/>
        </w:rPr>
      </w:pPr>
      <w:r>
        <w:rPr>
          <w:rFonts w:eastAsia="Calibri" w:hint="cs"/>
          <w:b/>
          <w:bCs/>
          <w:sz w:val="28"/>
          <w:rtl/>
        </w:rPr>
        <w:t>לטענת ה</w:t>
      </w:r>
      <w:r w:rsidRPr="00860461">
        <w:rPr>
          <w:rFonts w:eastAsia="Calibri" w:hint="cs"/>
          <w:b/>
          <w:bCs/>
          <w:sz w:val="28"/>
          <w:rtl/>
        </w:rPr>
        <w:t xml:space="preserve">סמכות </w:t>
      </w:r>
      <w:r>
        <w:rPr>
          <w:rFonts w:eastAsia="Calibri" w:hint="cs"/>
          <w:b/>
          <w:bCs/>
          <w:sz w:val="28"/>
          <w:rtl/>
        </w:rPr>
        <w:t>ה</w:t>
      </w:r>
      <w:r w:rsidRPr="00860461">
        <w:rPr>
          <w:rFonts w:eastAsia="Calibri" w:hint="cs"/>
          <w:b/>
          <w:bCs/>
          <w:sz w:val="28"/>
          <w:rtl/>
        </w:rPr>
        <w:t>עניינית</w:t>
      </w:r>
      <w:r>
        <w:rPr>
          <w:rFonts w:eastAsia="Calibri" w:hint="cs"/>
          <w:sz w:val="28"/>
          <w:rtl/>
        </w:rPr>
        <w:t xml:space="preserve">. מדובר בטענה שלא הייתה צריכה להיטען. בבקשה לסילוק על הסף עצמה נטען כי המפקח על רישום מקרקעין מוסמך לדון בתביעה לסילוק יד, ולהכריע בטענה לזיקת הנאה מכוח סמכותו הנגררת (ראו: פסקה 20 לבקשה לסילוק על הסף). אלו הם אכן פני הדברים, בהתאם להוראות סעיף 72(ב) לחוק המקרקעין וסעיף 76 לחוק בתי המשפט [נוסח משולב], התשמ"ד-1984 (לדיון בדבר תחולתו של סעיף 76 לחוק בתי המשפט בתביעות שנידונות לפני המפקח על רישום מקרקעין ראו: </w:t>
      </w:r>
      <w:proofErr w:type="spellStart"/>
      <w:r>
        <w:rPr>
          <w:rFonts w:eastAsia="Calibri" w:hint="cs"/>
          <w:sz w:val="28"/>
          <w:rtl/>
        </w:rPr>
        <w:t>בר"ע</w:t>
      </w:r>
      <w:proofErr w:type="spellEnd"/>
      <w:r>
        <w:rPr>
          <w:rFonts w:eastAsia="Calibri" w:hint="cs"/>
          <w:sz w:val="28"/>
          <w:rtl/>
        </w:rPr>
        <w:t xml:space="preserve"> 587/83</w:t>
      </w:r>
      <w:r w:rsidRPr="004964E9">
        <w:rPr>
          <w:rFonts w:eastAsia="Calibri"/>
          <w:sz w:val="28"/>
        </w:rPr>
        <w:t> </w:t>
      </w:r>
      <w:r w:rsidRPr="004964E9">
        <w:rPr>
          <w:rFonts w:eastAsia="Calibri"/>
          <w:b/>
          <w:bCs/>
          <w:sz w:val="28"/>
          <w:rtl/>
        </w:rPr>
        <w:t xml:space="preserve">ועד הבית ברחוב תנועת המרי 2, </w:t>
      </w:r>
      <w:proofErr w:type="spellStart"/>
      <w:r w:rsidRPr="004964E9">
        <w:rPr>
          <w:rFonts w:eastAsia="Calibri"/>
          <w:b/>
          <w:bCs/>
          <w:sz w:val="28"/>
          <w:rtl/>
        </w:rPr>
        <w:t>קרית</w:t>
      </w:r>
      <w:proofErr w:type="spellEnd"/>
      <w:r w:rsidRPr="004964E9">
        <w:rPr>
          <w:rFonts w:eastAsia="Calibri"/>
          <w:b/>
          <w:bCs/>
          <w:sz w:val="28"/>
          <w:rtl/>
        </w:rPr>
        <w:t xml:space="preserve"> אונו נ' ירדני</w:t>
      </w:r>
      <w:r>
        <w:rPr>
          <w:rFonts w:eastAsia="Calibri" w:hint="cs"/>
          <w:sz w:val="28"/>
          <w:rtl/>
        </w:rPr>
        <w:t xml:space="preserve">, </w:t>
      </w:r>
      <w:r w:rsidRPr="004964E9">
        <w:rPr>
          <w:rFonts w:eastAsia="Calibri"/>
          <w:sz w:val="28"/>
          <w:rtl/>
        </w:rPr>
        <w:t>פ"ד לח(4) 487</w:t>
      </w:r>
      <w:r>
        <w:rPr>
          <w:rFonts w:eastAsia="Calibri" w:hint="cs"/>
          <w:sz w:val="28"/>
          <w:rtl/>
        </w:rPr>
        <w:t xml:space="preserve"> (1984); </w:t>
      </w:r>
      <w:r w:rsidRPr="004964E9">
        <w:rPr>
          <w:rFonts w:eastAsia="Calibri"/>
          <w:sz w:val="28"/>
          <w:rtl/>
        </w:rPr>
        <w:t xml:space="preserve">(המפקח על המקרקעין רחובות) 13/23 </w:t>
      </w:r>
      <w:r w:rsidRPr="004964E9">
        <w:rPr>
          <w:rFonts w:eastAsia="Calibri"/>
          <w:b/>
          <w:bCs/>
          <w:sz w:val="28"/>
          <w:rtl/>
        </w:rPr>
        <w:t xml:space="preserve">מינימרקט אבו </w:t>
      </w:r>
      <w:proofErr w:type="spellStart"/>
      <w:r w:rsidRPr="004964E9">
        <w:rPr>
          <w:rFonts w:eastAsia="Calibri"/>
          <w:b/>
          <w:bCs/>
          <w:sz w:val="28"/>
          <w:rtl/>
        </w:rPr>
        <w:t>מאהר</w:t>
      </w:r>
      <w:proofErr w:type="spellEnd"/>
      <w:r w:rsidRPr="004964E9">
        <w:rPr>
          <w:rFonts w:eastAsia="Calibri"/>
          <w:b/>
          <w:bCs/>
          <w:sz w:val="28"/>
          <w:rtl/>
        </w:rPr>
        <w:t xml:space="preserve"> חסונה ובניו בע"מ נ' חב' עוז חברה להשקעות בע"מ</w:t>
      </w:r>
      <w:r>
        <w:rPr>
          <w:rFonts w:eastAsia="Calibri" w:hint="cs"/>
          <w:sz w:val="28"/>
          <w:rtl/>
        </w:rPr>
        <w:t>, פסקאות 43-39</w:t>
      </w:r>
      <w:r w:rsidRPr="004964E9">
        <w:rPr>
          <w:rFonts w:eastAsia="Calibri"/>
          <w:sz w:val="28"/>
          <w:rtl/>
        </w:rPr>
        <w:t xml:space="preserve"> (9.7.2025)</w:t>
      </w:r>
      <w:r>
        <w:rPr>
          <w:rFonts w:eastAsia="Calibri" w:hint="cs"/>
          <w:sz w:val="28"/>
          <w:rtl/>
        </w:rPr>
        <w:t xml:space="preserve">). בהינתן האמור, </w:t>
      </w:r>
      <w:r w:rsidRPr="004964E9">
        <w:rPr>
          <w:rFonts w:eastAsia="Calibri" w:hint="cs"/>
          <w:b/>
          <w:bCs/>
          <w:sz w:val="28"/>
          <w:rtl/>
        </w:rPr>
        <w:t>הטענה בדבר היעדר סמכות עניינית נדחית</w:t>
      </w:r>
      <w:r>
        <w:rPr>
          <w:rFonts w:eastAsia="Calibri" w:hint="cs"/>
          <w:sz w:val="28"/>
          <w:rtl/>
        </w:rPr>
        <w:t xml:space="preserve">. </w:t>
      </w:r>
    </w:p>
    <w:p w14:paraId="13764DF4" w14:textId="20CBBF43" w:rsidR="009539F2" w:rsidRDefault="009539F2" w:rsidP="00846C80">
      <w:pPr>
        <w:numPr>
          <w:ilvl w:val="0"/>
          <w:numId w:val="15"/>
        </w:numPr>
        <w:tabs>
          <w:tab w:val="center" w:pos="6994"/>
        </w:tabs>
        <w:spacing w:before="100" w:beforeAutospacing="1" w:after="240" w:line="360" w:lineRule="auto"/>
        <w:contextualSpacing w:val="0"/>
        <w:jc w:val="both"/>
        <w:rPr>
          <w:rFonts w:eastAsia="Calibri"/>
          <w:sz w:val="28"/>
        </w:rPr>
      </w:pPr>
      <w:r w:rsidRPr="00860461">
        <w:rPr>
          <w:rFonts w:eastAsia="Calibri" w:hint="cs"/>
          <w:b/>
          <w:bCs/>
          <w:sz w:val="28"/>
          <w:rtl/>
        </w:rPr>
        <w:t>לטענת סמכות הנציגות להגיש את התביעה נושא ההליך</w:t>
      </w:r>
      <w:r>
        <w:rPr>
          <w:rFonts w:eastAsia="Calibri" w:hint="cs"/>
          <w:sz w:val="28"/>
          <w:rtl/>
        </w:rPr>
        <w:t>. בתמצית, לטענת הנתבעת החניות המשותפות אינן רכוש משותף, שכן הן הוצמדו לחלק מהדירות, ומכיוון שכך הדבר חורג מאחריותה של נציגות הבית המשותף, כפי שנקבעה בסעיף 69 לחוק המקרקעין</w:t>
      </w:r>
      <w:r w:rsidR="00FA41DF">
        <w:rPr>
          <w:rFonts w:eastAsia="Calibri" w:hint="cs"/>
          <w:sz w:val="28"/>
          <w:rtl/>
        </w:rPr>
        <w:t xml:space="preserve">, והתובעת לא הייתה רשאית לפתוח בהליך זה, במיוחד </w:t>
      </w:r>
      <w:proofErr w:type="spellStart"/>
      <w:r w:rsidR="00FA41DF">
        <w:rPr>
          <w:rFonts w:eastAsia="Calibri" w:hint="cs"/>
          <w:sz w:val="28"/>
          <w:rtl/>
        </w:rPr>
        <w:t>כשלא</w:t>
      </w:r>
      <w:proofErr w:type="spellEnd"/>
      <w:r w:rsidR="00FA41DF">
        <w:rPr>
          <w:rFonts w:eastAsia="Calibri" w:hint="cs"/>
          <w:sz w:val="28"/>
          <w:rtl/>
        </w:rPr>
        <w:t xml:space="preserve"> קיבלה לכך את הסכמת בעלי הדירות</w:t>
      </w:r>
      <w:r>
        <w:rPr>
          <w:rFonts w:eastAsia="Calibri" w:hint="cs"/>
          <w:sz w:val="28"/>
          <w:rtl/>
        </w:rPr>
        <w:t xml:space="preserve">. מנגד, התובעת טוענת כי אין מניעה שהנציגות תעסוק גם בנושא זה. </w:t>
      </w:r>
    </w:p>
    <w:p w14:paraId="3C9937CC" w14:textId="3B4B3593" w:rsidR="009539F2" w:rsidRPr="00915FE9" w:rsidRDefault="009539F2" w:rsidP="00846C80">
      <w:pPr>
        <w:numPr>
          <w:ilvl w:val="0"/>
          <w:numId w:val="15"/>
        </w:numPr>
        <w:tabs>
          <w:tab w:val="center" w:pos="6994"/>
        </w:tabs>
        <w:spacing w:before="100" w:beforeAutospacing="1" w:after="240" w:line="360" w:lineRule="auto"/>
        <w:contextualSpacing w:val="0"/>
        <w:jc w:val="both"/>
        <w:rPr>
          <w:rFonts w:eastAsia="Calibri"/>
          <w:sz w:val="28"/>
        </w:rPr>
      </w:pPr>
      <w:r>
        <w:rPr>
          <w:rFonts w:eastAsia="Calibri" w:hint="cs"/>
          <w:sz w:val="28"/>
          <w:rtl/>
        </w:rPr>
        <w:t xml:space="preserve">אקדים ואומר שמצאתי לדחות גם טענה זו. </w:t>
      </w:r>
      <w:r>
        <w:rPr>
          <w:rtl/>
        </w:rPr>
        <w:t xml:space="preserve">אף אם אניח לטובת הנתבעת כי </w:t>
      </w:r>
      <w:r>
        <w:rPr>
          <w:rFonts w:hint="cs"/>
          <w:rtl/>
        </w:rPr>
        <w:t>ה</w:t>
      </w:r>
      <w:r>
        <w:rPr>
          <w:rtl/>
        </w:rPr>
        <w:t xml:space="preserve">קושי </w:t>
      </w:r>
      <w:r>
        <w:rPr>
          <w:rFonts w:hint="cs"/>
          <w:rtl/>
        </w:rPr>
        <w:t>ה</w:t>
      </w:r>
      <w:r>
        <w:rPr>
          <w:rtl/>
        </w:rPr>
        <w:t xml:space="preserve">מסוים בסמכות הנציגות לפתוח בהליך זה, </w:t>
      </w:r>
      <w:r>
        <w:rPr>
          <w:rFonts w:hint="cs"/>
          <w:rtl/>
        </w:rPr>
        <w:t xml:space="preserve">עליו אעמוד להלן, מוביל למסקנה לפיה הנציגות אינה מוסמכת לפתוח בהליך זה, התרופה לכך, ככל שנדרשת, היא תיקון </w:t>
      </w:r>
      <w:r>
        <w:rPr>
          <w:rtl/>
        </w:rPr>
        <w:t xml:space="preserve">זהות התובעת </w:t>
      </w:r>
      <w:r>
        <w:rPr>
          <w:rFonts w:hint="cs"/>
          <w:rtl/>
        </w:rPr>
        <w:t xml:space="preserve">לחברת הנציגות </w:t>
      </w:r>
      <w:r>
        <w:rPr>
          <w:rtl/>
        </w:rPr>
        <w:t>– ולא סילוק התביעה על הס</w:t>
      </w:r>
      <w:r>
        <w:rPr>
          <w:rFonts w:hint="cs"/>
          <w:rtl/>
        </w:rPr>
        <w:t>ף. כלומר, בכל מקרה אין בכך כדי להשפיע על תוצאות ההליך.</w:t>
      </w:r>
      <w:r w:rsidR="00FA41DF">
        <w:rPr>
          <w:rFonts w:eastAsia="Calibri" w:hint="cs"/>
          <w:sz w:val="28"/>
          <w:rtl/>
        </w:rPr>
        <w:t xml:space="preserve"> ואפרט.</w:t>
      </w:r>
    </w:p>
    <w:p w14:paraId="5CFE62C0" w14:textId="77777777" w:rsidR="009539F2" w:rsidRDefault="009539F2" w:rsidP="00846C80">
      <w:pPr>
        <w:numPr>
          <w:ilvl w:val="0"/>
          <w:numId w:val="15"/>
        </w:numPr>
        <w:tabs>
          <w:tab w:val="center" w:pos="6994"/>
        </w:tabs>
        <w:spacing w:before="100" w:beforeAutospacing="1" w:after="240" w:line="360" w:lineRule="auto"/>
        <w:contextualSpacing w:val="0"/>
        <w:jc w:val="both"/>
        <w:rPr>
          <w:rFonts w:eastAsia="Calibri"/>
          <w:sz w:val="28"/>
        </w:rPr>
      </w:pPr>
      <w:r>
        <w:rPr>
          <w:rFonts w:eastAsia="Calibri" w:hint="cs"/>
          <w:sz w:val="28"/>
          <w:rtl/>
        </w:rPr>
        <w:lastRenderedPageBreak/>
        <w:t xml:space="preserve">כפי שקבעתי בעניין אחר </w:t>
      </w:r>
      <w:r w:rsidRPr="00AA5F9B">
        <w:rPr>
          <w:rFonts w:eastAsia="Calibri"/>
          <w:sz w:val="28"/>
          <w:rtl/>
        </w:rPr>
        <w:t xml:space="preserve">"סעיף 69 לחוק המקרקעין מסמיך את נציגות הבית המשותף לפעול בשם בעלי הדירות בנוגע להחזקתו התקינה ולניהולו </w:t>
      </w:r>
      <w:r w:rsidRPr="00AA5F9B">
        <w:rPr>
          <w:rFonts w:eastAsia="Calibri"/>
          <w:b/>
          <w:bCs/>
          <w:sz w:val="28"/>
          <w:rtl/>
        </w:rPr>
        <w:t>של הרכוש המשותף</w:t>
      </w:r>
      <w:r w:rsidRPr="00AA5F9B">
        <w:rPr>
          <w:rFonts w:eastAsia="Calibri"/>
          <w:sz w:val="28"/>
          <w:rtl/>
        </w:rPr>
        <w:t xml:space="preserve">. </w:t>
      </w:r>
      <w:r w:rsidRPr="009A06FA">
        <w:rPr>
          <w:rFonts w:eastAsia="Calibri"/>
          <w:b/>
          <w:bCs/>
          <w:sz w:val="28"/>
          <w:rtl/>
        </w:rPr>
        <w:t>כאשר הנציגות פועלת בגדרי סמכויותיה אלה, היא אינה נדרשת לקבל לכך את אישורם של בעלי הדירות, ופעולותיה מחייבות את בעלי הדירות, אף מבלי לקבל לכך את אישו</w:t>
      </w:r>
      <w:r w:rsidRPr="009A06FA">
        <w:rPr>
          <w:rFonts w:eastAsia="Calibri" w:hint="cs"/>
          <w:b/>
          <w:bCs/>
          <w:sz w:val="28"/>
          <w:rtl/>
        </w:rPr>
        <w:t>רם</w:t>
      </w:r>
      <w:r>
        <w:rPr>
          <w:rFonts w:eastAsia="Calibri" w:hint="cs"/>
          <w:sz w:val="28"/>
          <w:rtl/>
        </w:rPr>
        <w:t xml:space="preserve">" (ראו: </w:t>
      </w:r>
      <w:r w:rsidRPr="00AA5F9B">
        <w:rPr>
          <w:rFonts w:eastAsia="Calibri"/>
          <w:sz w:val="28"/>
          <w:rtl/>
        </w:rPr>
        <w:t>(המפקח על המקרקעין רחובות) 294/23 </w:t>
      </w:r>
      <w:r w:rsidRPr="00AA5F9B">
        <w:rPr>
          <w:rFonts w:eastAsia="Calibri"/>
          <w:b/>
          <w:bCs/>
          <w:sz w:val="28"/>
          <w:rtl/>
        </w:rPr>
        <w:t xml:space="preserve">נציגות הבית ברחוב ש. בן ציון 4 רחובות נ' </w:t>
      </w:r>
      <w:proofErr w:type="spellStart"/>
      <w:r w:rsidRPr="00AA5F9B">
        <w:rPr>
          <w:rFonts w:eastAsia="Calibri"/>
          <w:b/>
          <w:bCs/>
          <w:sz w:val="28"/>
          <w:rtl/>
        </w:rPr>
        <w:t>מחפוד</w:t>
      </w:r>
      <w:proofErr w:type="spellEnd"/>
      <w:r w:rsidRPr="00AA5F9B">
        <w:rPr>
          <w:rFonts w:eastAsia="Calibri"/>
          <w:b/>
          <w:bCs/>
          <w:sz w:val="28"/>
          <w:rtl/>
        </w:rPr>
        <w:t xml:space="preserve"> קריטי</w:t>
      </w:r>
      <w:r>
        <w:rPr>
          <w:rFonts w:eastAsia="Calibri" w:hint="cs"/>
          <w:sz w:val="28"/>
          <w:rtl/>
        </w:rPr>
        <w:t>, פסקה 33</w:t>
      </w:r>
      <w:r w:rsidRPr="00AA5F9B">
        <w:rPr>
          <w:rFonts w:eastAsia="Calibri"/>
          <w:b/>
          <w:bCs/>
          <w:sz w:val="28"/>
          <w:rtl/>
        </w:rPr>
        <w:t xml:space="preserve"> </w:t>
      </w:r>
      <w:r w:rsidRPr="00AA5F9B">
        <w:rPr>
          <w:rFonts w:eastAsia="Calibri"/>
          <w:sz w:val="28"/>
          <w:rtl/>
        </w:rPr>
        <w:t>(8.5.2025)</w:t>
      </w:r>
      <w:r>
        <w:rPr>
          <w:rFonts w:eastAsia="Calibri" w:hint="cs"/>
          <w:sz w:val="28"/>
          <w:rtl/>
        </w:rPr>
        <w:t xml:space="preserve">; ההדגשה הוספה </w:t>
      </w:r>
      <w:r>
        <w:rPr>
          <w:rFonts w:eastAsia="Calibri"/>
          <w:sz w:val="28"/>
          <w:rtl/>
        </w:rPr>
        <w:t>–</w:t>
      </w:r>
      <w:r>
        <w:rPr>
          <w:rFonts w:eastAsia="Calibri" w:hint="cs"/>
          <w:sz w:val="28"/>
          <w:rtl/>
        </w:rPr>
        <w:t xml:space="preserve"> ב.ל.). כלומר, סמכות נציגות הבית המשותף, לפי סעיף 69 לחוק המקרקעין, מצומצמת לנושאים שנוגעים לרכוש המשותף, וביחס אליהם הנציגות אינה נדרשת לקבל את הסמכת בעלי הדירות לפתוח בהליך משפטי.</w:t>
      </w:r>
    </w:p>
    <w:p w14:paraId="261F5131" w14:textId="77777777" w:rsidR="009539F2" w:rsidRDefault="009539F2" w:rsidP="00846C80">
      <w:pPr>
        <w:numPr>
          <w:ilvl w:val="0"/>
          <w:numId w:val="15"/>
        </w:numPr>
        <w:tabs>
          <w:tab w:val="center" w:pos="6994"/>
        </w:tabs>
        <w:spacing w:before="100" w:beforeAutospacing="1" w:after="240" w:line="360" w:lineRule="auto"/>
        <w:contextualSpacing w:val="0"/>
        <w:jc w:val="both"/>
        <w:rPr>
          <w:rFonts w:eastAsia="Calibri"/>
          <w:sz w:val="28"/>
        </w:rPr>
      </w:pPr>
      <w:r>
        <w:rPr>
          <w:rFonts w:eastAsia="Calibri" w:hint="cs"/>
          <w:sz w:val="28"/>
          <w:rtl/>
        </w:rPr>
        <w:t xml:space="preserve">האם התביעה שלפנינו עוסקת ברכוש משותף? מדובר בשאלה שהתשובה לה אינה ברורה מאליה. כאמור, סעיף 2 לתקנון המוסכם קובע שהחניות המשותפות יוצמדו לדירות המוצמדות. השאלה האם ניתן להצמיד רכוש משותף למספר דירות, ומה מעמד הרכוש המשותף שהוצמד למספר דירות, הן שאלות שטרם זכו לדיון ממצה (ראו: </w:t>
      </w:r>
      <w:r w:rsidRPr="000E321E">
        <w:rPr>
          <w:rFonts w:eastAsia="Calibri"/>
          <w:sz w:val="28"/>
          <w:rtl/>
        </w:rPr>
        <w:t xml:space="preserve">ע"א 690/84 </w:t>
      </w:r>
      <w:r w:rsidRPr="000E321E">
        <w:rPr>
          <w:rFonts w:eastAsia="Calibri"/>
          <w:b/>
          <w:bCs/>
          <w:sz w:val="28"/>
          <w:rtl/>
        </w:rPr>
        <w:t xml:space="preserve">מדינת ישראל, משרד התקשורת, צפת נ' </w:t>
      </w:r>
      <w:proofErr w:type="spellStart"/>
      <w:r w:rsidRPr="000E321E">
        <w:rPr>
          <w:rFonts w:eastAsia="Calibri"/>
          <w:b/>
          <w:bCs/>
          <w:sz w:val="28"/>
          <w:rtl/>
        </w:rPr>
        <w:t>מרקוביץ</w:t>
      </w:r>
      <w:proofErr w:type="spellEnd"/>
      <w:r>
        <w:rPr>
          <w:rFonts w:eastAsia="Calibri" w:hint="cs"/>
          <w:sz w:val="28"/>
          <w:rtl/>
        </w:rPr>
        <w:t>, פסקה 5</w:t>
      </w:r>
      <w:r w:rsidRPr="000E321E">
        <w:rPr>
          <w:rFonts w:eastAsia="Calibri"/>
          <w:sz w:val="28"/>
          <w:rtl/>
        </w:rPr>
        <w:t xml:space="preserve"> (31.12.1984)</w:t>
      </w:r>
      <w:r>
        <w:rPr>
          <w:rFonts w:eastAsia="Calibri" w:hint="cs"/>
          <w:sz w:val="28"/>
          <w:rtl/>
        </w:rPr>
        <w:t xml:space="preserve">; </w:t>
      </w:r>
      <w:r w:rsidRPr="000E321E">
        <w:rPr>
          <w:rFonts w:eastAsia="Calibri"/>
          <w:sz w:val="28"/>
          <w:rtl/>
        </w:rPr>
        <w:t xml:space="preserve">ע"א 238/83 </w:t>
      </w:r>
      <w:r w:rsidRPr="000E321E">
        <w:rPr>
          <w:rFonts w:eastAsia="Calibri"/>
          <w:b/>
          <w:bCs/>
          <w:sz w:val="28"/>
          <w:rtl/>
        </w:rPr>
        <w:t>נציגות הבית המשותף נ' מרכוס</w:t>
      </w:r>
      <w:r w:rsidRPr="000E321E">
        <w:rPr>
          <w:rFonts w:eastAsia="Calibri"/>
          <w:sz w:val="28"/>
          <w:rtl/>
        </w:rPr>
        <w:t xml:space="preserve">, </w:t>
      </w:r>
      <w:r>
        <w:rPr>
          <w:rFonts w:eastAsia="Calibri" w:hint="cs"/>
          <w:sz w:val="28"/>
          <w:rtl/>
        </w:rPr>
        <w:t xml:space="preserve">פ"ד </w:t>
      </w:r>
      <w:proofErr w:type="spellStart"/>
      <w:r w:rsidRPr="000E321E">
        <w:rPr>
          <w:rFonts w:eastAsia="Calibri"/>
          <w:sz w:val="28"/>
          <w:rtl/>
        </w:rPr>
        <w:t>מא</w:t>
      </w:r>
      <w:proofErr w:type="spellEnd"/>
      <w:r w:rsidRPr="000E321E">
        <w:rPr>
          <w:rFonts w:eastAsia="Calibri"/>
          <w:sz w:val="28"/>
          <w:rtl/>
        </w:rPr>
        <w:t>(2) 561</w:t>
      </w:r>
      <w:r>
        <w:rPr>
          <w:rFonts w:eastAsia="Calibri" w:hint="cs"/>
          <w:sz w:val="28"/>
          <w:rtl/>
        </w:rPr>
        <w:t xml:space="preserve"> (1986); </w:t>
      </w:r>
      <w:r w:rsidRPr="00333369">
        <w:rPr>
          <w:rFonts w:eastAsia="Calibri"/>
          <w:sz w:val="28"/>
          <w:rtl/>
        </w:rPr>
        <w:t xml:space="preserve">ע"א 5812/19 </w:t>
      </w:r>
      <w:r w:rsidRPr="00333369">
        <w:rPr>
          <w:rFonts w:eastAsia="Calibri"/>
          <w:b/>
          <w:bCs/>
          <w:sz w:val="28"/>
          <w:rtl/>
        </w:rPr>
        <w:t>עזר נ' ויצמן</w:t>
      </w:r>
      <w:r>
        <w:rPr>
          <w:rFonts w:eastAsia="Calibri" w:hint="cs"/>
          <w:sz w:val="28"/>
          <w:rtl/>
        </w:rPr>
        <w:t>, פסקה 12</w:t>
      </w:r>
      <w:r w:rsidRPr="00333369">
        <w:rPr>
          <w:rFonts w:eastAsia="Calibri"/>
          <w:sz w:val="28"/>
          <w:rtl/>
        </w:rPr>
        <w:t xml:space="preserve"> (13.7.2022)</w:t>
      </w:r>
      <w:r>
        <w:rPr>
          <w:rFonts w:eastAsia="Calibri" w:hint="cs"/>
          <w:sz w:val="28"/>
          <w:rtl/>
        </w:rPr>
        <w:t xml:space="preserve">; </w:t>
      </w:r>
      <w:r w:rsidRPr="00BD1D5B">
        <w:rPr>
          <w:rFonts w:eastAsia="Calibri"/>
          <w:sz w:val="28"/>
          <w:rtl/>
        </w:rPr>
        <w:t xml:space="preserve">ע"א (מחוזי תל אביב-יפו) 1483/94 </w:t>
      </w:r>
      <w:r w:rsidRPr="00BD1D5B">
        <w:rPr>
          <w:rFonts w:eastAsia="Calibri"/>
          <w:b/>
          <w:bCs/>
          <w:sz w:val="28"/>
          <w:rtl/>
        </w:rPr>
        <w:t>הררי נ' סדן בית הוצאה לאור בע"מ</w:t>
      </w:r>
      <w:r w:rsidRPr="00BD1D5B">
        <w:rPr>
          <w:rFonts w:eastAsia="Calibri"/>
          <w:sz w:val="28"/>
          <w:rtl/>
        </w:rPr>
        <w:t xml:space="preserve">, </w:t>
      </w:r>
      <w:proofErr w:type="spellStart"/>
      <w:r>
        <w:rPr>
          <w:rFonts w:eastAsia="Calibri" w:hint="cs"/>
          <w:sz w:val="28"/>
          <w:rtl/>
        </w:rPr>
        <w:t>פ"מ</w:t>
      </w:r>
      <w:proofErr w:type="spellEnd"/>
      <w:r>
        <w:rPr>
          <w:rFonts w:eastAsia="Calibri" w:hint="cs"/>
          <w:sz w:val="28"/>
          <w:rtl/>
        </w:rPr>
        <w:t xml:space="preserve"> </w:t>
      </w:r>
      <w:r w:rsidRPr="00BD1D5B">
        <w:rPr>
          <w:rFonts w:eastAsia="Calibri"/>
          <w:sz w:val="28"/>
          <w:rtl/>
        </w:rPr>
        <w:t>תשנ"ה(2) 159</w:t>
      </w:r>
      <w:r>
        <w:rPr>
          <w:rFonts w:eastAsia="Calibri" w:hint="cs"/>
          <w:sz w:val="28"/>
          <w:rtl/>
        </w:rPr>
        <w:t xml:space="preserve">, 162-161 (1995); </w:t>
      </w:r>
      <w:proofErr w:type="spellStart"/>
      <w:r w:rsidRPr="000E321E">
        <w:rPr>
          <w:rFonts w:eastAsia="Calibri"/>
          <w:sz w:val="28"/>
          <w:rtl/>
        </w:rPr>
        <w:t>עש"א</w:t>
      </w:r>
      <w:proofErr w:type="spellEnd"/>
      <w:r w:rsidRPr="000E321E">
        <w:rPr>
          <w:rFonts w:eastAsia="Calibri"/>
          <w:sz w:val="28"/>
          <w:rtl/>
        </w:rPr>
        <w:t xml:space="preserve"> (מחוזי חי') 17756-02-12 </w:t>
      </w:r>
      <w:r w:rsidRPr="000E321E">
        <w:rPr>
          <w:rFonts w:eastAsia="Calibri"/>
          <w:b/>
          <w:bCs/>
          <w:sz w:val="28"/>
          <w:rtl/>
        </w:rPr>
        <w:t>שנורמן נ' כהן</w:t>
      </w:r>
      <w:r>
        <w:rPr>
          <w:rFonts w:eastAsia="Calibri" w:hint="cs"/>
          <w:sz w:val="28"/>
          <w:rtl/>
        </w:rPr>
        <w:t>, פס' 18</w:t>
      </w:r>
      <w:r w:rsidRPr="000E321E">
        <w:rPr>
          <w:rFonts w:eastAsia="Calibri"/>
          <w:sz w:val="28"/>
          <w:rtl/>
        </w:rPr>
        <w:t xml:space="preserve"> (14.1.2013)</w:t>
      </w:r>
      <w:r>
        <w:rPr>
          <w:rFonts w:eastAsia="Calibri" w:hint="cs"/>
          <w:sz w:val="28"/>
          <w:rtl/>
        </w:rPr>
        <w:t xml:space="preserve">; </w:t>
      </w:r>
      <w:r w:rsidRPr="00BD1D5B">
        <w:rPr>
          <w:rFonts w:eastAsia="Calibri"/>
          <w:sz w:val="28"/>
          <w:rtl/>
        </w:rPr>
        <w:t xml:space="preserve">ת"א (שלום י-ם) 61417-11-21 </w:t>
      </w:r>
      <w:r w:rsidRPr="00BD1D5B">
        <w:rPr>
          <w:rFonts w:eastAsia="Calibri"/>
          <w:b/>
          <w:bCs/>
          <w:sz w:val="28"/>
          <w:rtl/>
        </w:rPr>
        <w:t>יששכר נ' כהן</w:t>
      </w:r>
      <w:r>
        <w:rPr>
          <w:rFonts w:eastAsia="Calibri" w:hint="cs"/>
          <w:sz w:val="28"/>
          <w:rtl/>
        </w:rPr>
        <w:t>, פסקאות 10-9</w:t>
      </w:r>
      <w:r w:rsidRPr="00BD1D5B">
        <w:rPr>
          <w:rFonts w:eastAsia="Calibri"/>
          <w:sz w:val="28"/>
          <w:rtl/>
        </w:rPr>
        <w:t xml:space="preserve"> (16.8.2022)</w:t>
      </w:r>
      <w:r>
        <w:rPr>
          <w:rFonts w:eastAsia="Calibri" w:hint="cs"/>
          <w:sz w:val="28"/>
          <w:rtl/>
        </w:rPr>
        <w:t xml:space="preserve">; </w:t>
      </w:r>
      <w:r w:rsidRPr="00BD1D5B">
        <w:rPr>
          <w:rFonts w:eastAsia="Calibri"/>
          <w:sz w:val="28"/>
          <w:rtl/>
        </w:rPr>
        <w:t xml:space="preserve">(המפקח על המקרקעין עכו) 59/20 </w:t>
      </w:r>
      <w:r w:rsidRPr="00BD1D5B">
        <w:rPr>
          <w:rFonts w:eastAsia="Calibri"/>
          <w:b/>
          <w:bCs/>
          <w:sz w:val="28"/>
          <w:rtl/>
        </w:rPr>
        <w:t>בוכריס נ' בן אבי</w:t>
      </w:r>
      <w:r>
        <w:rPr>
          <w:rFonts w:eastAsia="Calibri" w:hint="cs"/>
          <w:sz w:val="28"/>
          <w:rtl/>
        </w:rPr>
        <w:t>, פס' 35-24</w:t>
      </w:r>
      <w:r w:rsidRPr="00BD1D5B">
        <w:rPr>
          <w:rFonts w:eastAsia="Calibri"/>
          <w:sz w:val="28"/>
          <w:rtl/>
        </w:rPr>
        <w:t xml:space="preserve"> (1.5.2024)</w:t>
      </w:r>
      <w:r>
        <w:rPr>
          <w:rFonts w:eastAsia="Calibri" w:hint="cs"/>
          <w:sz w:val="28"/>
          <w:rtl/>
        </w:rPr>
        <w:t xml:space="preserve">; יהושע ויסמן </w:t>
      </w:r>
      <w:r>
        <w:rPr>
          <w:rFonts w:eastAsia="Calibri" w:hint="cs"/>
          <w:b/>
          <w:bCs/>
          <w:sz w:val="28"/>
          <w:rtl/>
        </w:rPr>
        <w:t xml:space="preserve">דיני קניין </w:t>
      </w:r>
      <w:r>
        <w:rPr>
          <w:rFonts w:eastAsia="Calibri"/>
          <w:b/>
          <w:bCs/>
          <w:sz w:val="28"/>
          <w:rtl/>
        </w:rPr>
        <w:t>–</w:t>
      </w:r>
      <w:r>
        <w:rPr>
          <w:rFonts w:eastAsia="Calibri" w:hint="cs"/>
          <w:b/>
          <w:bCs/>
          <w:sz w:val="28"/>
          <w:rtl/>
        </w:rPr>
        <w:t xml:space="preserve"> בעלות ושיתוף</w:t>
      </w:r>
      <w:r>
        <w:rPr>
          <w:rFonts w:eastAsia="Calibri" w:hint="cs"/>
          <w:sz w:val="28"/>
          <w:rtl/>
        </w:rPr>
        <w:t xml:space="preserve"> 410 (1997), </w:t>
      </w:r>
      <w:proofErr w:type="spellStart"/>
      <w:r>
        <w:rPr>
          <w:rFonts w:eastAsia="Calibri" w:hint="cs"/>
          <w:sz w:val="28"/>
          <w:rtl/>
        </w:rPr>
        <w:t>מיגל</w:t>
      </w:r>
      <w:proofErr w:type="spellEnd"/>
      <w:r>
        <w:rPr>
          <w:rFonts w:eastAsia="Calibri" w:hint="cs"/>
          <w:sz w:val="28"/>
          <w:rtl/>
        </w:rPr>
        <w:t xml:space="preserve"> </w:t>
      </w:r>
      <w:proofErr w:type="spellStart"/>
      <w:r>
        <w:rPr>
          <w:rFonts w:eastAsia="Calibri" w:hint="cs"/>
          <w:sz w:val="28"/>
          <w:rtl/>
        </w:rPr>
        <w:t>דויטש</w:t>
      </w:r>
      <w:proofErr w:type="spellEnd"/>
      <w:r>
        <w:rPr>
          <w:rFonts w:eastAsia="Calibri" w:hint="cs"/>
          <w:sz w:val="28"/>
          <w:rtl/>
        </w:rPr>
        <w:t xml:space="preserve"> </w:t>
      </w:r>
      <w:r>
        <w:rPr>
          <w:rFonts w:eastAsia="Calibri" w:hint="cs"/>
          <w:b/>
          <w:bCs/>
          <w:sz w:val="28"/>
          <w:rtl/>
        </w:rPr>
        <w:t xml:space="preserve">קניין </w:t>
      </w:r>
      <w:r>
        <w:rPr>
          <w:rFonts w:eastAsia="Calibri" w:hint="cs"/>
          <w:sz w:val="28"/>
          <w:rtl/>
        </w:rPr>
        <w:t xml:space="preserve">(כרך א') 681 (1997)). </w:t>
      </w:r>
    </w:p>
    <w:p w14:paraId="1A7A9ECB" w14:textId="77777777" w:rsidR="009539F2" w:rsidRDefault="009539F2" w:rsidP="00846C80">
      <w:pPr>
        <w:numPr>
          <w:ilvl w:val="0"/>
          <w:numId w:val="15"/>
        </w:numPr>
        <w:tabs>
          <w:tab w:val="center" w:pos="6994"/>
        </w:tabs>
        <w:spacing w:before="100" w:beforeAutospacing="1" w:after="240" w:line="360" w:lineRule="auto"/>
        <w:contextualSpacing w:val="0"/>
        <w:jc w:val="both"/>
        <w:rPr>
          <w:rFonts w:eastAsia="Calibri"/>
          <w:sz w:val="28"/>
        </w:rPr>
      </w:pPr>
      <w:r>
        <w:rPr>
          <w:rFonts w:eastAsia="Calibri" w:hint="cs"/>
          <w:sz w:val="28"/>
          <w:rtl/>
        </w:rPr>
        <w:t>מהמקורות השונים עולה שייתכן שאין כל תוקף להצמדת הרכוש המשותף למספר דירות, ומנגד ייתכן שיש לכך תוקף, אולם הרכוש המשותף שהוצמד למספר דירות שומר על מעמדו כ"רכוש משותף", אם כי בשינויים מסוימים ביחס ל"רכוש המשותף" הכללי. בין כך ובין כך, בהינתן שהנתבעת לא נדרשה לנושא, ולא התייחסה למעמדה של נציגות הבית המשותף ביחס לרכוש משותף שהוצמד למספר דירות, לא ראיתי מקום לקבל את טענתה בעניין זה, ולקבוע שלנציגות אין סמכות לפעול ביחס לחניות המשותפות. וזאת מבלי שיהיה בכך כדי למצות את הדיון בנושא זה.</w:t>
      </w:r>
    </w:p>
    <w:p w14:paraId="6D2A8AFD" w14:textId="459CE1D9" w:rsidR="009539F2" w:rsidRDefault="009539F2" w:rsidP="00846C80">
      <w:pPr>
        <w:numPr>
          <w:ilvl w:val="0"/>
          <w:numId w:val="15"/>
        </w:numPr>
        <w:tabs>
          <w:tab w:val="center" w:pos="6994"/>
        </w:tabs>
        <w:spacing w:before="100" w:beforeAutospacing="1" w:after="240" w:line="360" w:lineRule="auto"/>
        <w:contextualSpacing w:val="0"/>
        <w:jc w:val="both"/>
        <w:rPr>
          <w:rFonts w:eastAsia="Calibri"/>
          <w:sz w:val="28"/>
        </w:rPr>
      </w:pPr>
      <w:r>
        <w:rPr>
          <w:rFonts w:eastAsia="Calibri" w:hint="cs"/>
          <w:sz w:val="28"/>
          <w:rtl/>
        </w:rPr>
        <w:t>בחירתי שלא להכריע במחלוקת האמורה נובעת גם מכך</w:t>
      </w:r>
      <w:r w:rsidR="00690A15">
        <w:rPr>
          <w:rFonts w:eastAsia="Calibri" w:hint="cs"/>
          <w:sz w:val="28"/>
          <w:rtl/>
        </w:rPr>
        <w:t>,</w:t>
      </w:r>
      <w:r>
        <w:rPr>
          <w:rFonts w:eastAsia="Calibri" w:hint="cs"/>
          <w:sz w:val="28"/>
          <w:rtl/>
        </w:rPr>
        <w:t xml:space="preserve"> שגם אם ייקבע שהנציגות לא הייתה רשאית לפתוח בהליך זה, לא היה בכך כדי להשפיע על תוצאתו של פסק הדין. אסביר את דבריי.</w:t>
      </w:r>
    </w:p>
    <w:p w14:paraId="1423036C" w14:textId="3DEEFC2D" w:rsidR="009539F2" w:rsidRDefault="009539F2" w:rsidP="00846C80">
      <w:pPr>
        <w:numPr>
          <w:ilvl w:val="0"/>
          <w:numId w:val="15"/>
        </w:numPr>
        <w:tabs>
          <w:tab w:val="center" w:pos="6994"/>
        </w:tabs>
        <w:spacing w:before="100" w:beforeAutospacing="1" w:after="240" w:line="360" w:lineRule="auto"/>
        <w:contextualSpacing w:val="0"/>
        <w:jc w:val="both"/>
        <w:rPr>
          <w:rFonts w:eastAsia="Calibri"/>
          <w:sz w:val="28"/>
        </w:rPr>
      </w:pPr>
      <w:r w:rsidRPr="00D02E53">
        <w:rPr>
          <w:rFonts w:eastAsia="Calibri" w:hint="cs"/>
          <w:sz w:val="28"/>
          <w:rtl/>
        </w:rPr>
        <w:t>בהתאם להלכה שנקבעה ב</w:t>
      </w:r>
      <w:r w:rsidRPr="00D02E53">
        <w:rPr>
          <w:rFonts w:eastAsia="Calibri"/>
          <w:sz w:val="28"/>
          <w:rtl/>
        </w:rPr>
        <w:t xml:space="preserve">ע"א 98/80 </w:t>
      </w:r>
      <w:r w:rsidRPr="00D02E53">
        <w:rPr>
          <w:rFonts w:eastAsia="Calibri"/>
          <w:b/>
          <w:bCs/>
          <w:sz w:val="28"/>
          <w:rtl/>
        </w:rPr>
        <w:t>קדמת לוד בע"מ נ' נציגות הבית המשותף רחוב רבי עקיבא 77</w:t>
      </w:r>
      <w:r w:rsidRPr="00D02E53">
        <w:rPr>
          <w:rFonts w:eastAsia="Calibri" w:hint="cs"/>
          <w:b/>
          <w:bCs/>
          <w:sz w:val="28"/>
          <w:rtl/>
        </w:rPr>
        <w:t xml:space="preserve"> </w:t>
      </w:r>
      <w:r w:rsidRPr="00D02E53">
        <w:rPr>
          <w:rFonts w:eastAsia="Calibri"/>
          <w:b/>
          <w:bCs/>
          <w:sz w:val="28"/>
          <w:rtl/>
        </w:rPr>
        <w:t>לוד</w:t>
      </w:r>
      <w:r w:rsidRPr="00D02E53">
        <w:rPr>
          <w:rFonts w:eastAsia="Calibri"/>
          <w:sz w:val="28"/>
          <w:rtl/>
        </w:rPr>
        <w:t xml:space="preserve">, </w:t>
      </w:r>
      <w:r w:rsidRPr="00D02E53">
        <w:rPr>
          <w:rFonts w:eastAsia="Calibri" w:hint="cs"/>
          <w:sz w:val="28"/>
          <w:rtl/>
        </w:rPr>
        <w:t xml:space="preserve">פ"ד </w:t>
      </w:r>
      <w:r w:rsidRPr="00D02E53">
        <w:rPr>
          <w:rFonts w:eastAsia="Calibri"/>
          <w:sz w:val="28"/>
          <w:rtl/>
        </w:rPr>
        <w:t>לו(2) 21</w:t>
      </w:r>
      <w:r w:rsidRPr="00D02E53">
        <w:rPr>
          <w:rFonts w:eastAsia="Calibri" w:hint="cs"/>
          <w:sz w:val="28"/>
          <w:rtl/>
        </w:rPr>
        <w:t xml:space="preserve"> (1981) (להלן: "</w:t>
      </w:r>
      <w:r w:rsidRPr="00D02E53">
        <w:rPr>
          <w:rFonts w:eastAsia="Calibri" w:hint="cs"/>
          <w:b/>
          <w:bCs/>
          <w:sz w:val="28"/>
          <w:rtl/>
        </w:rPr>
        <w:t>עניין קדמת לוד</w:t>
      </w:r>
      <w:r w:rsidRPr="00D02E53">
        <w:rPr>
          <w:rFonts w:eastAsia="Calibri" w:hint="cs"/>
          <w:sz w:val="28"/>
          <w:rtl/>
        </w:rPr>
        <w:t xml:space="preserve">"), במקרה בו נציגות פותחת בהליך בנושא שאינו </w:t>
      </w:r>
      <w:r w:rsidR="00690A15">
        <w:rPr>
          <w:rFonts w:eastAsia="Calibri" w:hint="cs"/>
          <w:sz w:val="28"/>
          <w:rtl/>
        </w:rPr>
        <w:t>ב</w:t>
      </w:r>
      <w:r w:rsidRPr="00D02E53">
        <w:rPr>
          <w:rFonts w:eastAsia="Calibri" w:hint="cs"/>
          <w:sz w:val="28"/>
          <w:rtl/>
        </w:rPr>
        <w:t xml:space="preserve">סמכותה, הסעד הרלוונטי אינו מחיקת התביעה, כי אם תיקון כתב התביעה כך שחלף נציגות הבית המשותף יבואו חברי הנציגות עצמם (וראו עמדת כב' השופט (כתוארו אז) </w:t>
      </w:r>
      <w:r w:rsidRPr="00D02E53">
        <w:rPr>
          <w:rFonts w:eastAsia="Calibri" w:hint="cs"/>
          <w:b/>
          <w:bCs/>
          <w:sz w:val="28"/>
          <w:rtl/>
        </w:rPr>
        <w:t>מ' שמגר</w:t>
      </w:r>
      <w:r w:rsidRPr="00D02E53">
        <w:rPr>
          <w:rFonts w:eastAsia="Calibri" w:hint="cs"/>
          <w:sz w:val="28"/>
          <w:rtl/>
        </w:rPr>
        <w:t xml:space="preserve"> בעמ' 26-23 לעניין </w:t>
      </w:r>
      <w:r w:rsidRPr="00D02E53">
        <w:rPr>
          <w:rFonts w:eastAsia="Calibri" w:hint="cs"/>
          <w:b/>
          <w:bCs/>
          <w:sz w:val="28"/>
          <w:rtl/>
        </w:rPr>
        <w:t>קדמת לוד</w:t>
      </w:r>
      <w:r w:rsidRPr="00D02E53">
        <w:rPr>
          <w:rFonts w:eastAsia="Calibri" w:hint="cs"/>
          <w:sz w:val="28"/>
          <w:rtl/>
        </w:rPr>
        <w:t xml:space="preserve">, לפיה אין מניעה שהתביעה תוגש </w:t>
      </w:r>
      <w:r>
        <w:rPr>
          <w:rFonts w:eastAsia="Calibri" w:hint="cs"/>
          <w:sz w:val="28"/>
          <w:rtl/>
        </w:rPr>
        <w:t>על ידי</w:t>
      </w:r>
      <w:r w:rsidRPr="00D02E53">
        <w:rPr>
          <w:rFonts w:eastAsia="Calibri" w:hint="cs"/>
          <w:sz w:val="28"/>
          <w:rtl/>
        </w:rPr>
        <w:t xml:space="preserve"> הנציגות עצמה גם בנושאים שאינם בסמכותה). מכיוון שכך, גם לו היה מקום לקבל את טענת הנתבעת בעניין זה, לכל היותר הדבר היה מביא לתיקון </w:t>
      </w:r>
      <w:r w:rsidRPr="00D02E53">
        <w:rPr>
          <w:rFonts w:eastAsia="Calibri" w:hint="cs"/>
          <w:sz w:val="28"/>
          <w:rtl/>
        </w:rPr>
        <w:lastRenderedPageBreak/>
        <w:t xml:space="preserve">כתב התביעה, כך שגב' </w:t>
      </w:r>
      <w:proofErr w:type="spellStart"/>
      <w:r w:rsidRPr="00D02E53">
        <w:rPr>
          <w:rFonts w:eastAsia="Calibri" w:hint="cs"/>
          <w:sz w:val="28"/>
          <w:rtl/>
        </w:rPr>
        <w:t>קיומוב</w:t>
      </w:r>
      <w:proofErr w:type="spellEnd"/>
      <w:r w:rsidR="00690A15">
        <w:rPr>
          <w:rFonts w:eastAsia="Calibri" w:hint="cs"/>
          <w:sz w:val="28"/>
          <w:rtl/>
        </w:rPr>
        <w:t>, שהיא חברת הנציגות ובעלת זכויות באחת מהדירות המוצמדות,</w:t>
      </w:r>
      <w:r w:rsidRPr="00D02E53">
        <w:rPr>
          <w:rFonts w:eastAsia="Calibri" w:hint="cs"/>
          <w:sz w:val="28"/>
          <w:rtl/>
        </w:rPr>
        <w:t xml:space="preserve"> הייתה נרשמת כתובעת חלף הנציגות. </w:t>
      </w:r>
    </w:p>
    <w:p w14:paraId="1E471549" w14:textId="77777777" w:rsidR="009539F2" w:rsidRDefault="009539F2" w:rsidP="00846C80">
      <w:pPr>
        <w:numPr>
          <w:ilvl w:val="0"/>
          <w:numId w:val="15"/>
        </w:numPr>
        <w:tabs>
          <w:tab w:val="center" w:pos="6994"/>
        </w:tabs>
        <w:spacing w:before="100" w:beforeAutospacing="1" w:after="240" w:line="360" w:lineRule="auto"/>
        <w:contextualSpacing w:val="0"/>
        <w:jc w:val="both"/>
        <w:rPr>
          <w:rFonts w:eastAsia="Calibri"/>
          <w:sz w:val="28"/>
        </w:rPr>
      </w:pPr>
      <w:r>
        <w:rPr>
          <w:rFonts w:eastAsia="Calibri" w:hint="cs"/>
          <w:sz w:val="28"/>
          <w:rtl/>
        </w:rPr>
        <w:t xml:space="preserve">בעניין זה אציין שבכתב התביעה </w:t>
      </w:r>
      <w:proofErr w:type="spellStart"/>
      <w:r>
        <w:rPr>
          <w:rFonts w:eastAsia="Calibri" w:hint="cs"/>
          <w:sz w:val="28"/>
          <w:rtl/>
        </w:rPr>
        <w:t>צויינה</w:t>
      </w:r>
      <w:proofErr w:type="spellEnd"/>
      <w:r>
        <w:rPr>
          <w:rFonts w:eastAsia="Calibri" w:hint="cs"/>
          <w:sz w:val="28"/>
          <w:rtl/>
        </w:rPr>
        <w:t xml:space="preserve"> גב' </w:t>
      </w:r>
      <w:proofErr w:type="spellStart"/>
      <w:r>
        <w:rPr>
          <w:rFonts w:eastAsia="Calibri" w:hint="cs"/>
          <w:sz w:val="28"/>
          <w:rtl/>
        </w:rPr>
        <w:t>קיומוב</w:t>
      </w:r>
      <w:proofErr w:type="spellEnd"/>
      <w:r>
        <w:rPr>
          <w:rFonts w:eastAsia="Calibri" w:hint="cs"/>
          <w:sz w:val="28"/>
          <w:rtl/>
        </w:rPr>
        <w:t xml:space="preserve"> בשמה ובתעודת הזהות שלה כאחת התובעות, ואף הנתבעת בכתבי הטענות מטעמה התייחסה לגב' </w:t>
      </w:r>
      <w:proofErr w:type="spellStart"/>
      <w:r>
        <w:rPr>
          <w:rFonts w:eastAsia="Calibri" w:hint="cs"/>
          <w:sz w:val="28"/>
          <w:rtl/>
        </w:rPr>
        <w:t>קיומוב</w:t>
      </w:r>
      <w:proofErr w:type="spellEnd"/>
      <w:r>
        <w:rPr>
          <w:rFonts w:eastAsia="Calibri" w:hint="cs"/>
          <w:sz w:val="28"/>
          <w:rtl/>
        </w:rPr>
        <w:t xml:space="preserve"> באופן אישי כתובעת, על-אף שבאופן רשמי התובעת היא נציגות הבית המשותף.</w:t>
      </w:r>
    </w:p>
    <w:p w14:paraId="28085D33" w14:textId="215EC436" w:rsidR="009539F2" w:rsidRDefault="009539F2" w:rsidP="00846C80">
      <w:pPr>
        <w:numPr>
          <w:ilvl w:val="0"/>
          <w:numId w:val="15"/>
        </w:numPr>
        <w:tabs>
          <w:tab w:val="center" w:pos="6994"/>
        </w:tabs>
        <w:spacing w:before="100" w:beforeAutospacing="1" w:after="240" w:line="360" w:lineRule="auto"/>
        <w:contextualSpacing w:val="0"/>
        <w:jc w:val="both"/>
        <w:rPr>
          <w:rFonts w:eastAsia="Calibri"/>
          <w:sz w:val="28"/>
        </w:rPr>
      </w:pPr>
      <w:r w:rsidRPr="00D02E53">
        <w:rPr>
          <w:rFonts w:eastAsia="Calibri" w:hint="cs"/>
          <w:sz w:val="28"/>
          <w:rtl/>
        </w:rPr>
        <w:t xml:space="preserve">בהינתן שגב' </w:t>
      </w:r>
      <w:proofErr w:type="spellStart"/>
      <w:r w:rsidRPr="00D02E53">
        <w:rPr>
          <w:rFonts w:eastAsia="Calibri" w:hint="cs"/>
          <w:sz w:val="28"/>
          <w:rtl/>
        </w:rPr>
        <w:t>קיומוב</w:t>
      </w:r>
      <w:proofErr w:type="spellEnd"/>
      <w:r w:rsidRPr="00D02E53">
        <w:rPr>
          <w:rFonts w:eastAsia="Calibri" w:hint="cs"/>
          <w:sz w:val="28"/>
          <w:rtl/>
        </w:rPr>
        <w:t xml:space="preserve"> הייתה הרוח החיה מאחורי התביעה, הגישה תצהיר עדות ראשית ונחקרה על תצהירה, </w:t>
      </w:r>
      <w:r>
        <w:rPr>
          <w:rFonts w:eastAsia="Calibri" w:hint="cs"/>
          <w:sz w:val="28"/>
          <w:rtl/>
        </w:rPr>
        <w:t xml:space="preserve">אני סבור שלא </w:t>
      </w:r>
      <w:r w:rsidR="00690A15">
        <w:rPr>
          <w:rFonts w:eastAsia="Calibri" w:hint="cs"/>
          <w:sz w:val="28"/>
          <w:rtl/>
        </w:rPr>
        <w:t>היה נגרם</w:t>
      </w:r>
      <w:r>
        <w:rPr>
          <w:rFonts w:eastAsia="Calibri" w:hint="cs"/>
          <w:sz w:val="28"/>
          <w:rtl/>
        </w:rPr>
        <w:t xml:space="preserve"> לנתבעת </w:t>
      </w:r>
      <w:r w:rsidR="00690A15">
        <w:rPr>
          <w:rFonts w:eastAsia="Calibri" w:hint="cs"/>
          <w:sz w:val="28"/>
          <w:rtl/>
        </w:rPr>
        <w:t xml:space="preserve">כל נזק </w:t>
      </w:r>
      <w:r>
        <w:rPr>
          <w:rFonts w:eastAsia="Calibri" w:hint="cs"/>
          <w:sz w:val="28"/>
          <w:rtl/>
        </w:rPr>
        <w:t xml:space="preserve">מכך שבמסגרת פסק הדין </w:t>
      </w:r>
      <w:r w:rsidR="00A32A8D">
        <w:rPr>
          <w:rFonts w:eastAsia="Calibri" w:hint="cs"/>
          <w:sz w:val="28"/>
          <w:rtl/>
        </w:rPr>
        <w:t>הייתי מורה</w:t>
      </w:r>
      <w:r>
        <w:rPr>
          <w:rFonts w:eastAsia="Calibri" w:hint="cs"/>
          <w:sz w:val="28"/>
          <w:rtl/>
        </w:rPr>
        <w:t xml:space="preserve"> על תיקון כתב התביעה בדרך של שינוי שם התובעת מנציגות הבית המשותף לגב' </w:t>
      </w:r>
      <w:proofErr w:type="spellStart"/>
      <w:r>
        <w:rPr>
          <w:rFonts w:eastAsia="Calibri" w:hint="cs"/>
          <w:sz w:val="28"/>
          <w:rtl/>
        </w:rPr>
        <w:t>קיומוב</w:t>
      </w:r>
      <w:proofErr w:type="spellEnd"/>
      <w:r>
        <w:rPr>
          <w:rFonts w:eastAsia="Calibri" w:hint="cs"/>
          <w:sz w:val="28"/>
          <w:rtl/>
        </w:rPr>
        <w:t xml:space="preserve">. מכיוון שכך </w:t>
      </w:r>
      <w:r w:rsidRPr="00D02E53">
        <w:rPr>
          <w:rFonts w:eastAsia="Calibri" w:hint="cs"/>
          <w:sz w:val="28"/>
          <w:rtl/>
        </w:rPr>
        <w:t>שקלתי להשתמש בסמכותי לפי סעיף 75 לחוק המקרקעין, לסטות מסדרי הדין</w:t>
      </w:r>
      <w:r w:rsidR="00A32A8D">
        <w:rPr>
          <w:rFonts w:eastAsia="Calibri" w:hint="cs"/>
          <w:sz w:val="28"/>
          <w:rtl/>
        </w:rPr>
        <w:t>,</w:t>
      </w:r>
      <w:r w:rsidRPr="00D02E53">
        <w:rPr>
          <w:rFonts w:eastAsia="Calibri" w:hint="cs"/>
          <w:sz w:val="28"/>
          <w:rtl/>
        </w:rPr>
        <w:t xml:space="preserve"> ולהורות על תיקון כתב התביעה באופן </w:t>
      </w:r>
      <w:r w:rsidR="00A32A8D">
        <w:rPr>
          <w:rFonts w:eastAsia="Calibri" w:hint="cs"/>
          <w:sz w:val="28"/>
          <w:rtl/>
        </w:rPr>
        <w:t>האמור</w:t>
      </w:r>
      <w:r w:rsidRPr="00D02E53">
        <w:rPr>
          <w:rFonts w:eastAsia="Calibri" w:hint="cs"/>
          <w:sz w:val="28"/>
          <w:rtl/>
        </w:rPr>
        <w:t xml:space="preserve"> במסגרת פסק הדין</w:t>
      </w:r>
      <w:r>
        <w:rPr>
          <w:rFonts w:eastAsia="Calibri" w:hint="cs"/>
          <w:sz w:val="28"/>
          <w:rtl/>
        </w:rPr>
        <w:t xml:space="preserve">, </w:t>
      </w:r>
      <w:r w:rsidR="00A32A8D">
        <w:rPr>
          <w:rFonts w:eastAsia="Calibri" w:hint="cs"/>
          <w:sz w:val="28"/>
          <w:rtl/>
        </w:rPr>
        <w:t xml:space="preserve">וזאת </w:t>
      </w:r>
      <w:r>
        <w:rPr>
          <w:rFonts w:eastAsia="Calibri" w:hint="cs"/>
          <w:sz w:val="28"/>
          <w:rtl/>
        </w:rPr>
        <w:t xml:space="preserve">לאור הקושי המסוים בזהות התובעת, עליו עמדתי לעיל. </w:t>
      </w:r>
    </w:p>
    <w:p w14:paraId="63EC3289" w14:textId="172BFE7A" w:rsidR="009539F2" w:rsidRPr="00D02E53" w:rsidRDefault="009539F2" w:rsidP="00846C80">
      <w:pPr>
        <w:numPr>
          <w:ilvl w:val="0"/>
          <w:numId w:val="15"/>
        </w:numPr>
        <w:tabs>
          <w:tab w:val="center" w:pos="6994"/>
        </w:tabs>
        <w:spacing w:before="100" w:beforeAutospacing="1" w:after="240" w:line="360" w:lineRule="auto"/>
        <w:contextualSpacing w:val="0"/>
        <w:jc w:val="both"/>
        <w:rPr>
          <w:rFonts w:eastAsia="Calibri"/>
          <w:sz w:val="28"/>
        </w:rPr>
      </w:pPr>
      <w:r w:rsidRPr="00D02E53">
        <w:rPr>
          <w:rFonts w:eastAsia="Calibri" w:hint="cs"/>
          <w:sz w:val="28"/>
          <w:rtl/>
        </w:rPr>
        <w:t xml:space="preserve">עם זאת, </w:t>
      </w:r>
      <w:r>
        <w:rPr>
          <w:rFonts w:eastAsia="Calibri" w:hint="cs"/>
          <w:sz w:val="28"/>
          <w:rtl/>
        </w:rPr>
        <w:t>לאור הספק בדבר סמכותה של הנציגות לייצג בהליך זה, ו</w:t>
      </w:r>
      <w:r w:rsidRPr="00D02E53">
        <w:rPr>
          <w:rFonts w:eastAsia="Calibri" w:hint="cs"/>
          <w:sz w:val="28"/>
          <w:rtl/>
        </w:rPr>
        <w:t xml:space="preserve">בהינתן שהמשמעות היחידה של תיקון כתב התביעה </w:t>
      </w:r>
      <w:r>
        <w:rPr>
          <w:rFonts w:eastAsia="Calibri" w:hint="cs"/>
          <w:sz w:val="28"/>
          <w:rtl/>
        </w:rPr>
        <w:t>בשלב זה</w:t>
      </w:r>
      <w:r w:rsidRPr="00D02E53">
        <w:rPr>
          <w:rFonts w:eastAsia="Calibri" w:hint="cs"/>
          <w:sz w:val="28"/>
          <w:rtl/>
        </w:rPr>
        <w:t xml:space="preserve"> </w:t>
      </w:r>
      <w:r>
        <w:rPr>
          <w:rFonts w:eastAsia="Calibri" w:hint="cs"/>
          <w:sz w:val="28"/>
          <w:rtl/>
        </w:rPr>
        <w:t>היא</w:t>
      </w:r>
      <w:r w:rsidRPr="00D02E53">
        <w:rPr>
          <w:rFonts w:eastAsia="Calibri" w:hint="cs"/>
          <w:sz w:val="28"/>
          <w:rtl/>
        </w:rPr>
        <w:t xml:space="preserve"> שההוצאות שתיפסקנה לחובת הנתבעים במסגרת פסק הדין</w:t>
      </w:r>
      <w:r>
        <w:rPr>
          <w:rFonts w:eastAsia="Calibri" w:hint="cs"/>
          <w:sz w:val="28"/>
          <w:rtl/>
        </w:rPr>
        <w:t xml:space="preserve">, כפי שיפורט </w:t>
      </w:r>
      <w:r w:rsidR="00A32A8D">
        <w:rPr>
          <w:rFonts w:eastAsia="Calibri" w:hint="cs"/>
          <w:sz w:val="28"/>
          <w:rtl/>
        </w:rPr>
        <w:t>להלן</w:t>
      </w:r>
      <w:r>
        <w:rPr>
          <w:rFonts w:eastAsia="Calibri" w:hint="cs"/>
          <w:sz w:val="28"/>
          <w:rtl/>
        </w:rPr>
        <w:t>,</w:t>
      </w:r>
      <w:r w:rsidRPr="00D02E53">
        <w:rPr>
          <w:rFonts w:eastAsia="Calibri" w:hint="cs"/>
          <w:sz w:val="28"/>
          <w:rtl/>
        </w:rPr>
        <w:t xml:space="preserve"> </w:t>
      </w:r>
      <w:r>
        <w:rPr>
          <w:rFonts w:eastAsia="Calibri" w:hint="cs"/>
          <w:sz w:val="28"/>
          <w:rtl/>
        </w:rPr>
        <w:t>ישולמו</w:t>
      </w:r>
      <w:r w:rsidRPr="00D02E53">
        <w:rPr>
          <w:rFonts w:eastAsia="Calibri" w:hint="cs"/>
          <w:sz w:val="28"/>
          <w:rtl/>
        </w:rPr>
        <w:t xml:space="preserve"> לגב' </w:t>
      </w:r>
      <w:proofErr w:type="spellStart"/>
      <w:r w:rsidRPr="00D02E53">
        <w:rPr>
          <w:rFonts w:eastAsia="Calibri" w:hint="cs"/>
          <w:sz w:val="28"/>
          <w:rtl/>
        </w:rPr>
        <w:t>קיומוב</w:t>
      </w:r>
      <w:proofErr w:type="spellEnd"/>
      <w:r w:rsidRPr="00D02E53">
        <w:rPr>
          <w:rFonts w:eastAsia="Calibri" w:hint="cs"/>
          <w:sz w:val="28"/>
          <w:rtl/>
        </w:rPr>
        <w:t xml:space="preserve"> ולא לנציגות,</w:t>
      </w:r>
      <w:r>
        <w:rPr>
          <w:rFonts w:eastAsia="Calibri" w:hint="cs"/>
          <w:sz w:val="28"/>
          <w:rtl/>
        </w:rPr>
        <w:t xml:space="preserve"> שעל-פניו נשאה בהוצאות ההליך, לא ראיתי </w:t>
      </w:r>
      <w:r w:rsidRPr="00D02E53">
        <w:rPr>
          <w:rFonts w:eastAsia="Calibri" w:hint="cs"/>
          <w:sz w:val="28"/>
          <w:rtl/>
        </w:rPr>
        <w:t xml:space="preserve">מקום להורות על תיקון כאמור. </w:t>
      </w:r>
    </w:p>
    <w:p w14:paraId="775B96C5" w14:textId="77777777" w:rsidR="009539F2" w:rsidRDefault="009539F2" w:rsidP="00846C80">
      <w:pPr>
        <w:numPr>
          <w:ilvl w:val="0"/>
          <w:numId w:val="15"/>
        </w:numPr>
        <w:tabs>
          <w:tab w:val="center" w:pos="6994"/>
        </w:tabs>
        <w:spacing w:before="100" w:beforeAutospacing="1" w:after="240" w:line="360" w:lineRule="auto"/>
        <w:contextualSpacing w:val="0"/>
        <w:jc w:val="both"/>
        <w:rPr>
          <w:rFonts w:eastAsia="Calibri"/>
          <w:sz w:val="28"/>
        </w:rPr>
      </w:pPr>
      <w:r>
        <w:rPr>
          <w:rFonts w:eastAsia="Calibri" w:hint="cs"/>
          <w:sz w:val="28"/>
          <w:rtl/>
        </w:rPr>
        <w:t xml:space="preserve">למען הסר ספק, יובהר שהשאלה האם יש תוקף קנייני להצמדת החניות המשותפות לדירות המוצמדות אינה משפיעה על תביעה זו לסילוק יד. זאת, שכן כלל בעלי הדירות בבית המשותף, לרבות הנתבעת, מחויבים לאמור בסעיף 2 לתקנון המוסכם, לפיו לבעלי הדירות המוצמדות זכות שימוש ייחודית בחניות המשותפות. זאת, בין אם החניות המשותפות הוצמדו ובין אם לאו, שכן הוראות שנקבעו בתקנון בנוגע לשימוש ברכוש המשותף מחייבות את בעלי הדירות, גם אם נעשו שלא בדרך של הצמדה. </w:t>
      </w:r>
    </w:p>
    <w:p w14:paraId="0FB3FE14" w14:textId="77777777" w:rsidR="009539F2" w:rsidRDefault="009539F2" w:rsidP="00846C80">
      <w:pPr>
        <w:numPr>
          <w:ilvl w:val="0"/>
          <w:numId w:val="15"/>
        </w:numPr>
        <w:tabs>
          <w:tab w:val="center" w:pos="6994"/>
        </w:tabs>
        <w:spacing w:before="100" w:beforeAutospacing="1" w:after="240" w:line="360" w:lineRule="auto"/>
        <w:contextualSpacing w:val="0"/>
        <w:jc w:val="both"/>
        <w:rPr>
          <w:rFonts w:eastAsia="Calibri"/>
          <w:sz w:val="28"/>
        </w:rPr>
      </w:pPr>
      <w:r w:rsidRPr="009A06FA">
        <w:rPr>
          <w:rFonts w:eastAsia="Calibri" w:hint="cs"/>
          <w:b/>
          <w:bCs/>
          <w:sz w:val="28"/>
          <w:rtl/>
        </w:rPr>
        <w:t>כללם של דברים, גם טענת היעדר היריבות נדחית</w:t>
      </w:r>
      <w:r>
        <w:rPr>
          <w:rFonts w:eastAsia="Calibri" w:hint="cs"/>
          <w:sz w:val="28"/>
          <w:rtl/>
        </w:rPr>
        <w:t xml:space="preserve">. </w:t>
      </w:r>
    </w:p>
    <w:p w14:paraId="0726F825" w14:textId="77777777" w:rsidR="009539F2" w:rsidRDefault="009539F2" w:rsidP="00846C80">
      <w:pPr>
        <w:numPr>
          <w:ilvl w:val="0"/>
          <w:numId w:val="15"/>
        </w:numPr>
        <w:tabs>
          <w:tab w:val="center" w:pos="6994"/>
        </w:tabs>
        <w:spacing w:before="100" w:beforeAutospacing="1" w:after="240" w:line="360" w:lineRule="auto"/>
        <w:contextualSpacing w:val="0"/>
        <w:jc w:val="both"/>
        <w:rPr>
          <w:rFonts w:eastAsia="Calibri"/>
          <w:sz w:val="28"/>
        </w:rPr>
      </w:pPr>
      <w:r>
        <w:rPr>
          <w:rFonts w:eastAsia="Calibri" w:hint="cs"/>
          <w:sz w:val="28"/>
          <w:rtl/>
        </w:rPr>
        <w:t>מכאן לגופם של דברים.</w:t>
      </w:r>
    </w:p>
    <w:p w14:paraId="7D0A63BA" w14:textId="77777777" w:rsidR="009539F2" w:rsidRPr="00165482" w:rsidRDefault="009539F2" w:rsidP="009539F2">
      <w:pPr>
        <w:spacing w:before="100" w:beforeAutospacing="1" w:after="240" w:line="360" w:lineRule="auto"/>
        <w:contextualSpacing w:val="0"/>
        <w:jc w:val="both"/>
        <w:rPr>
          <w:b/>
          <w:bCs/>
          <w:u w:val="single"/>
        </w:rPr>
      </w:pPr>
      <w:r>
        <w:rPr>
          <w:rFonts w:hint="cs"/>
          <w:b/>
          <w:bCs/>
          <w:u w:val="single"/>
          <w:rtl/>
        </w:rPr>
        <w:t>האם השימוש שנעשה על ידי משפחתה של הנתבעת בחניות המשותפות מקנה זיקת הנאה בחניות המשותפות לטובת דירה 17?</w:t>
      </w:r>
    </w:p>
    <w:p w14:paraId="12A0D0EE" w14:textId="414CC516" w:rsidR="009539F2" w:rsidRPr="00900688" w:rsidRDefault="009539F2" w:rsidP="009539F2">
      <w:pPr>
        <w:pStyle w:val="ac"/>
        <w:numPr>
          <w:ilvl w:val="0"/>
          <w:numId w:val="15"/>
        </w:numPr>
        <w:spacing w:before="100" w:beforeAutospacing="1" w:after="240" w:line="360" w:lineRule="auto"/>
        <w:ind w:left="340" w:hanging="340"/>
        <w:contextualSpacing w:val="0"/>
        <w:jc w:val="both"/>
        <w:rPr>
          <w:b/>
          <w:bCs/>
          <w:u w:val="single"/>
        </w:rPr>
      </w:pPr>
      <w:r>
        <w:rPr>
          <w:rFonts w:hint="cs"/>
          <w:sz w:val="24"/>
          <w:rtl/>
        </w:rPr>
        <w:t xml:space="preserve">טענת ההגנה של הנתבעת היא שהשימוש שעשו אביה ז"ל ובני משפחתה בחניות המשותפות, במשך כ-48 שנים ברצף, מקנה זיקת הנאה מכוח שנים בחניות המשותפות לטובת דירה 17. מכיוון שכך, </w:t>
      </w:r>
      <w:r w:rsidR="003745AA">
        <w:rPr>
          <w:rFonts w:hint="cs"/>
          <w:sz w:val="24"/>
          <w:rtl/>
        </w:rPr>
        <w:t xml:space="preserve">כך נטען, </w:t>
      </w:r>
      <w:r>
        <w:rPr>
          <w:rFonts w:hint="cs"/>
          <w:sz w:val="24"/>
          <w:rtl/>
        </w:rPr>
        <w:t xml:space="preserve">היא זכאית להמשיך בשימוש ויש לדחות את התביעה לסילוק יד. </w:t>
      </w:r>
    </w:p>
    <w:p w14:paraId="3E7C05C4" w14:textId="5B89EF6A" w:rsidR="009539F2" w:rsidRPr="00F70A4E" w:rsidRDefault="009539F2" w:rsidP="009539F2">
      <w:pPr>
        <w:pStyle w:val="ac"/>
        <w:numPr>
          <w:ilvl w:val="0"/>
          <w:numId w:val="15"/>
        </w:numPr>
        <w:spacing w:before="100" w:beforeAutospacing="1" w:after="240" w:line="360" w:lineRule="auto"/>
        <w:ind w:left="340" w:hanging="340"/>
        <w:contextualSpacing w:val="0"/>
        <w:jc w:val="both"/>
        <w:rPr>
          <w:b/>
          <w:bCs/>
          <w:u w:val="single"/>
        </w:rPr>
      </w:pPr>
      <w:r>
        <w:rPr>
          <w:rFonts w:hint="cs"/>
          <w:sz w:val="24"/>
          <w:rtl/>
        </w:rPr>
        <w:lastRenderedPageBreak/>
        <w:t xml:space="preserve">אקדים ואומר שאין מחלוקת עובדתית בין הצדדים בנוגע לכך שמר </w:t>
      </w:r>
      <w:proofErr w:type="spellStart"/>
      <w:r>
        <w:rPr>
          <w:rFonts w:hint="cs"/>
          <w:sz w:val="24"/>
          <w:rtl/>
        </w:rPr>
        <w:t>בורודיצקי</w:t>
      </w:r>
      <w:proofErr w:type="spellEnd"/>
      <w:r>
        <w:rPr>
          <w:rFonts w:hint="cs"/>
          <w:sz w:val="24"/>
          <w:rtl/>
        </w:rPr>
        <w:t xml:space="preserve"> ז"ל ובני משפחת הנתבעת משתמשים בחניות המשותפות מאז הוקם הבית המשותף בשנת 1976. כלומר, המחלוקת בין הצדדים אינה </w:t>
      </w:r>
      <w:r w:rsidR="003745AA">
        <w:rPr>
          <w:rFonts w:hint="cs"/>
          <w:sz w:val="24"/>
          <w:rtl/>
        </w:rPr>
        <w:t>נוגעת</w:t>
      </w:r>
      <w:r>
        <w:rPr>
          <w:rFonts w:hint="cs"/>
          <w:sz w:val="24"/>
          <w:rtl/>
        </w:rPr>
        <w:t xml:space="preserve"> לעצם השימוש רב השנים בחניה מס' 17 על ידי מר </w:t>
      </w:r>
      <w:proofErr w:type="spellStart"/>
      <w:r>
        <w:rPr>
          <w:rFonts w:hint="cs"/>
          <w:sz w:val="24"/>
          <w:rtl/>
        </w:rPr>
        <w:t>בורודיצקי</w:t>
      </w:r>
      <w:proofErr w:type="spellEnd"/>
      <w:r>
        <w:rPr>
          <w:rFonts w:hint="cs"/>
          <w:sz w:val="24"/>
          <w:rtl/>
        </w:rPr>
        <w:t xml:space="preserve"> ז"ל ובני משפחתו, אלא ביחס לטיב הזכות שנטען שנובעת משימוש זה.</w:t>
      </w:r>
    </w:p>
    <w:p w14:paraId="36F5F8BC" w14:textId="77777777" w:rsidR="009539F2" w:rsidRPr="00F70A4E" w:rsidRDefault="009539F2" w:rsidP="009539F2">
      <w:pPr>
        <w:pStyle w:val="ac"/>
        <w:numPr>
          <w:ilvl w:val="0"/>
          <w:numId w:val="15"/>
        </w:numPr>
        <w:spacing w:before="100" w:beforeAutospacing="1" w:after="240" w:line="360" w:lineRule="auto"/>
        <w:ind w:left="340" w:hanging="340"/>
        <w:contextualSpacing w:val="0"/>
        <w:jc w:val="both"/>
        <w:rPr>
          <w:b/>
          <w:bCs/>
          <w:u w:val="single"/>
        </w:rPr>
      </w:pPr>
      <w:r>
        <w:rPr>
          <w:rFonts w:hint="cs"/>
          <w:sz w:val="24"/>
          <w:rtl/>
        </w:rPr>
        <w:t>אפתח בהצגת הפסיקה בנוגע למקרים בהם שימוש במקרקעין לטובת חניה מקנה זיקת הנאה, ולאחר מכן אבחן את יישום הפסיקה על המקרה שלפניי.</w:t>
      </w:r>
    </w:p>
    <w:p w14:paraId="1554178C" w14:textId="77777777" w:rsidR="009539F2" w:rsidRPr="00F70A4E" w:rsidRDefault="009539F2" w:rsidP="00846C80">
      <w:pPr>
        <w:spacing w:before="100" w:beforeAutospacing="1" w:after="240" w:line="360" w:lineRule="auto"/>
        <w:contextualSpacing w:val="0"/>
        <w:jc w:val="both"/>
        <w:outlineLvl w:val="1"/>
        <w:rPr>
          <w:b/>
          <w:bCs/>
          <w:u w:val="single"/>
        </w:rPr>
      </w:pPr>
      <w:r>
        <w:rPr>
          <w:rFonts w:hint="cs"/>
          <w:b/>
          <w:bCs/>
          <w:u w:val="single"/>
          <w:rtl/>
        </w:rPr>
        <w:t xml:space="preserve">רקע נורמטיבי </w:t>
      </w:r>
      <w:r>
        <w:rPr>
          <w:b/>
          <w:bCs/>
          <w:u w:val="single"/>
          <w:rtl/>
        </w:rPr>
        <w:t>–</w:t>
      </w:r>
      <w:r>
        <w:rPr>
          <w:rFonts w:hint="cs"/>
          <w:b/>
          <w:bCs/>
          <w:u w:val="single"/>
          <w:rtl/>
        </w:rPr>
        <w:t xml:space="preserve"> מהן הנסיבות בהן שימוש במקרקעין לטובת חניה יקנה זיקת הנאה מכוח שנים?</w:t>
      </w:r>
    </w:p>
    <w:p w14:paraId="561801C4" w14:textId="77777777" w:rsidR="009539F2" w:rsidRDefault="009539F2" w:rsidP="009539F2">
      <w:pPr>
        <w:pStyle w:val="ac"/>
        <w:numPr>
          <w:ilvl w:val="0"/>
          <w:numId w:val="15"/>
        </w:numPr>
        <w:spacing w:before="100" w:beforeAutospacing="1" w:after="240" w:line="360" w:lineRule="auto"/>
        <w:ind w:left="340" w:hanging="340"/>
        <w:contextualSpacing w:val="0"/>
        <w:jc w:val="both"/>
        <w:rPr>
          <w:noProof/>
        </w:rPr>
      </w:pPr>
      <w:r>
        <w:rPr>
          <w:rFonts w:hint="cs"/>
          <w:noProof/>
          <w:rtl/>
        </w:rPr>
        <w:t xml:space="preserve">זיקת הנאה מכוח שנים מעוגנת בסעיף 94(א) לחוק המקרקעין, הקובע כדלקמן: </w:t>
      </w:r>
    </w:p>
    <w:p w14:paraId="7208A6F9" w14:textId="77777777" w:rsidR="009539F2" w:rsidRPr="00466F5B" w:rsidRDefault="009539F2" w:rsidP="009539F2">
      <w:pPr>
        <w:pStyle w:val="ac"/>
        <w:spacing w:before="100" w:beforeAutospacing="1" w:after="240" w:line="360" w:lineRule="auto"/>
        <w:ind w:right="680"/>
        <w:contextualSpacing w:val="0"/>
        <w:jc w:val="both"/>
        <w:rPr>
          <w:rtl/>
        </w:rPr>
      </w:pPr>
      <w:r w:rsidRPr="00466F5B">
        <w:rPr>
          <w:rFonts w:hint="cs"/>
          <w:rtl/>
        </w:rPr>
        <w:t>"</w:t>
      </w:r>
      <w:r w:rsidRPr="00466F5B">
        <w:rPr>
          <w:rtl/>
        </w:rPr>
        <w:t>מי שהשתמש בזכות הראויה להוות זיקת הנאה במשך תקופה של שלושים שנים רצופות רכש את הזיקה והוא זכאי לדרוש רישומה.</w:t>
      </w:r>
      <w:r w:rsidRPr="00466F5B">
        <w:rPr>
          <w:rFonts w:hint="cs"/>
          <w:rtl/>
        </w:rPr>
        <w:t>"</w:t>
      </w:r>
    </w:p>
    <w:p w14:paraId="50FA9871" w14:textId="77777777" w:rsidR="009539F2" w:rsidRDefault="009539F2" w:rsidP="009539F2">
      <w:pPr>
        <w:pStyle w:val="ac"/>
        <w:numPr>
          <w:ilvl w:val="0"/>
          <w:numId w:val="15"/>
        </w:numPr>
        <w:spacing w:before="100" w:beforeAutospacing="1" w:after="240" w:line="360" w:lineRule="auto"/>
        <w:ind w:left="340" w:hanging="340"/>
        <w:contextualSpacing w:val="0"/>
        <w:jc w:val="both"/>
        <w:rPr>
          <w:noProof/>
        </w:rPr>
      </w:pPr>
      <w:r>
        <w:rPr>
          <w:rFonts w:hint="cs"/>
          <w:noProof/>
          <w:rtl/>
        </w:rPr>
        <w:t>בפסיקה נקבע שעל מנת לקנות זיקת הנאה מכוח שנים, יש להוכיח את התקיימותם של שלושה תנאים:</w:t>
      </w:r>
      <w:r w:rsidRPr="006B7DFF">
        <w:rPr>
          <w:rFonts w:hint="cs"/>
          <w:rtl/>
        </w:rPr>
        <w:t xml:space="preserve"> </w:t>
      </w:r>
      <w:r>
        <w:rPr>
          <w:rFonts w:hint="cs"/>
          <w:rtl/>
        </w:rPr>
        <w:t xml:space="preserve">(1) השימוש במקרקעין במשך השנים נעשה באופן שמהווה הפרה של זכויות הבעלים במקרקעין ("שימוש נוגד"); (2) השימוש נעשה באופן שראוי להוות זיקת הנאה, כמשמעות המונח בסעיף 5 לחוק המקרקעין; וכן (3) תקופת השימוש במקרקעין היא 30 שנים רצופות (ראו: ע"א 9308/06 </w:t>
      </w:r>
      <w:r>
        <w:rPr>
          <w:rFonts w:hint="cs"/>
          <w:b/>
          <w:bCs/>
          <w:rtl/>
        </w:rPr>
        <w:t>עיריית רמת גן נ' עזבון המנוחה הגב' ורדה בורשטיין ז"ל</w:t>
      </w:r>
      <w:r>
        <w:rPr>
          <w:rFonts w:hint="cs"/>
          <w:rtl/>
        </w:rPr>
        <w:t>, פס' 58-56 לפסק דינו של כב' השופט (כתוארו אז)</w:t>
      </w:r>
      <w:r>
        <w:rPr>
          <w:rFonts w:hint="cs"/>
        </w:rPr>
        <w:t xml:space="preserve"> </w:t>
      </w:r>
      <w:r>
        <w:rPr>
          <w:rFonts w:hint="cs"/>
          <w:b/>
          <w:bCs/>
          <w:rtl/>
        </w:rPr>
        <w:t>י' עמית</w:t>
      </w:r>
      <w:r>
        <w:rPr>
          <w:rFonts w:hint="cs"/>
          <w:rtl/>
        </w:rPr>
        <w:t xml:space="preserve"> (22.9.2011) (להלן: "</w:t>
      </w:r>
      <w:r>
        <w:rPr>
          <w:rFonts w:hint="cs"/>
          <w:b/>
          <w:bCs/>
          <w:rtl/>
        </w:rPr>
        <w:t>עניין בורשטיין</w:t>
      </w:r>
      <w:r>
        <w:rPr>
          <w:rFonts w:hint="cs"/>
          <w:rtl/>
        </w:rPr>
        <w:t>")).</w:t>
      </w:r>
    </w:p>
    <w:p w14:paraId="38B6F5CD" w14:textId="0BD2304A" w:rsidR="009539F2" w:rsidRDefault="009539F2" w:rsidP="009539F2">
      <w:pPr>
        <w:pStyle w:val="ac"/>
        <w:numPr>
          <w:ilvl w:val="0"/>
          <w:numId w:val="15"/>
        </w:numPr>
        <w:spacing w:before="100" w:beforeAutospacing="1" w:after="240" w:line="360" w:lineRule="auto"/>
        <w:ind w:left="340" w:hanging="340"/>
        <w:contextualSpacing w:val="0"/>
        <w:jc w:val="both"/>
        <w:rPr>
          <w:noProof/>
        </w:rPr>
      </w:pPr>
      <w:r>
        <w:rPr>
          <w:rFonts w:hint="cs"/>
          <w:noProof/>
          <w:rtl/>
        </w:rPr>
        <w:t xml:space="preserve">אין חולק שבענייננו התקיימו התנאים הראשון והשלישי </w:t>
      </w:r>
      <w:r>
        <w:rPr>
          <w:noProof/>
          <w:rtl/>
        </w:rPr>
        <w:t>–</w:t>
      </w:r>
      <w:r>
        <w:rPr>
          <w:rFonts w:hint="cs"/>
          <w:noProof/>
          <w:rtl/>
        </w:rPr>
        <w:t xml:space="preserve"> השימוש שנעשה על ידי משפחתה של הנתבעת בחניות המשותפות</w:t>
      </w:r>
      <w:r w:rsidR="003745AA">
        <w:rPr>
          <w:rFonts w:hint="cs"/>
          <w:noProof/>
          <w:rtl/>
        </w:rPr>
        <w:t>,</w:t>
      </w:r>
      <w:r>
        <w:rPr>
          <w:rFonts w:hint="cs"/>
          <w:noProof/>
          <w:rtl/>
        </w:rPr>
        <w:t xml:space="preserve"> מהווה הפרה של זכויות בעלי הדירות </w:t>
      </w:r>
      <w:r w:rsidR="003745AA">
        <w:rPr>
          <w:rFonts w:hint="cs"/>
          <w:noProof/>
          <w:rtl/>
        </w:rPr>
        <w:t>המוצמדות</w:t>
      </w:r>
      <w:r>
        <w:rPr>
          <w:rFonts w:hint="cs"/>
          <w:noProof/>
          <w:rtl/>
        </w:rPr>
        <w:t xml:space="preserve">; כמו כן השימוש הנוגד נעשה לתקופה שעולה על 30 שנים. מכיוון שכך, אמקד את הדיון בתנאי השני </w:t>
      </w:r>
      <w:r>
        <w:rPr>
          <w:noProof/>
          <w:rtl/>
        </w:rPr>
        <w:t>–</w:t>
      </w:r>
      <w:r>
        <w:rPr>
          <w:rFonts w:hint="cs"/>
          <w:noProof/>
          <w:rtl/>
        </w:rPr>
        <w:t xml:space="preserve"> הזכות המבוקשת במקרקעין ראויה להוות זיקת הנאה, כמשמעות המונח בסעיף 5 לחוק המקרקעין. </w:t>
      </w:r>
    </w:p>
    <w:p w14:paraId="5E008FA4" w14:textId="77777777" w:rsidR="009539F2" w:rsidRDefault="009539F2" w:rsidP="009539F2">
      <w:pPr>
        <w:pStyle w:val="ac"/>
        <w:numPr>
          <w:ilvl w:val="0"/>
          <w:numId w:val="15"/>
        </w:numPr>
        <w:spacing w:before="100" w:beforeAutospacing="1" w:after="240" w:line="360" w:lineRule="auto"/>
        <w:ind w:left="340" w:hanging="340"/>
        <w:contextualSpacing w:val="0"/>
        <w:jc w:val="both"/>
        <w:rPr>
          <w:noProof/>
        </w:rPr>
      </w:pPr>
      <w:r>
        <w:rPr>
          <w:rFonts w:hint="cs"/>
          <w:noProof/>
          <w:rtl/>
        </w:rPr>
        <w:t>סעיף 5 לחוק המקרקעין קובע שזיקת הנאה היא: "</w:t>
      </w:r>
      <w:r>
        <w:rPr>
          <w:rFonts w:hint="cs"/>
          <w:b/>
          <w:bCs/>
          <w:noProof/>
          <w:rtl/>
        </w:rPr>
        <w:t>שעבוד מקרקעין להנאה שאין עמו זכות להחזיק בהם</w:t>
      </w:r>
      <w:r>
        <w:rPr>
          <w:rFonts w:hint="cs"/>
          <w:noProof/>
          <w:rtl/>
        </w:rPr>
        <w:t xml:space="preserve">". בע"א 700/88 </w:t>
      </w:r>
      <w:r>
        <w:rPr>
          <w:rFonts w:hint="cs"/>
          <w:b/>
          <w:bCs/>
          <w:noProof/>
          <w:rtl/>
        </w:rPr>
        <w:t>אסטרחאן נ' בן-חורין</w:t>
      </w:r>
      <w:r>
        <w:rPr>
          <w:rFonts w:hint="cs"/>
          <w:noProof/>
          <w:rtl/>
        </w:rPr>
        <w:t>, פ"ד מה(3) 720 (1991) (להלן: "</w:t>
      </w:r>
      <w:r>
        <w:rPr>
          <w:rFonts w:hint="cs"/>
          <w:b/>
          <w:bCs/>
          <w:noProof/>
          <w:rtl/>
        </w:rPr>
        <w:t>עניין אסטרחאן</w:t>
      </w:r>
      <w:r>
        <w:rPr>
          <w:rFonts w:hint="cs"/>
          <w:noProof/>
          <w:rtl/>
        </w:rPr>
        <w:t xml:space="preserve">") נקבע כי הגדרה זו כוללת, לענייננו, יסוד שלילי </w:t>
      </w:r>
      <w:r>
        <w:rPr>
          <w:noProof/>
          <w:rtl/>
        </w:rPr>
        <w:t>–</w:t>
      </w:r>
      <w:r>
        <w:rPr>
          <w:rFonts w:hint="cs"/>
          <w:noProof/>
          <w:rtl/>
        </w:rPr>
        <w:t xml:space="preserve"> לפיו הזכות אינה כוללת זכות חזקה ייחודית במקרקעין ספציפיים (ראו: עניין </w:t>
      </w:r>
      <w:r>
        <w:rPr>
          <w:rFonts w:hint="cs"/>
          <w:b/>
          <w:bCs/>
          <w:noProof/>
          <w:rtl/>
        </w:rPr>
        <w:t>אסטרחאן</w:t>
      </w:r>
      <w:r>
        <w:rPr>
          <w:rFonts w:hint="cs"/>
          <w:noProof/>
          <w:rtl/>
        </w:rPr>
        <w:t xml:space="preserve">, עמ' 733-732; עניין </w:t>
      </w:r>
      <w:r>
        <w:rPr>
          <w:rFonts w:hint="cs"/>
          <w:b/>
          <w:bCs/>
          <w:noProof/>
          <w:rtl/>
        </w:rPr>
        <w:t>בורשטיין</w:t>
      </w:r>
      <w:r>
        <w:rPr>
          <w:rFonts w:hint="cs"/>
          <w:noProof/>
          <w:rtl/>
        </w:rPr>
        <w:t xml:space="preserve">, פסק 58 לפסק דינו של כב' השופט </w:t>
      </w:r>
      <w:r>
        <w:rPr>
          <w:rFonts w:hint="cs"/>
          <w:b/>
          <w:bCs/>
          <w:noProof/>
          <w:rtl/>
        </w:rPr>
        <w:t>עמית</w:t>
      </w:r>
      <w:r>
        <w:rPr>
          <w:rFonts w:hint="cs"/>
          <w:noProof/>
          <w:rtl/>
        </w:rPr>
        <w:t>). כלומר: שימוש באופן ששולל את זכות החזקה במקרקעין מהבעלים, אינו ראוי להוות זיקת הנאה.</w:t>
      </w:r>
    </w:p>
    <w:p w14:paraId="56935C12" w14:textId="77777777" w:rsidR="009539F2" w:rsidRDefault="009539F2" w:rsidP="009539F2">
      <w:pPr>
        <w:pStyle w:val="ac"/>
        <w:numPr>
          <w:ilvl w:val="0"/>
          <w:numId w:val="15"/>
        </w:numPr>
        <w:spacing w:before="100" w:beforeAutospacing="1" w:after="240" w:line="360" w:lineRule="auto"/>
        <w:contextualSpacing w:val="0"/>
        <w:jc w:val="both"/>
        <w:rPr>
          <w:noProof/>
        </w:rPr>
      </w:pPr>
      <w:r>
        <w:rPr>
          <w:rFonts w:hint="cs"/>
          <w:noProof/>
          <w:rtl/>
        </w:rPr>
        <w:lastRenderedPageBreak/>
        <w:t xml:space="preserve">ביישום ההלכה לעניין חניה, נקבע שיש לבחון האם השימוש במקרקעין לטובת חניה נעשה ביחס למקרקעין ספציפיים, באופן שמבקש לקנות זיקת הנאה שתאפשר חניה ברצועת מקרקעין ספציפית. במקרה כזה זיקת ההנאה תשלול בפועל את זכות החזקה של הבעלים, וממילא לא יתקיים היסוד השלילי של זיקת הנאה, והטענה לזיקת הנאה מכוח שנים תידחה. </w:t>
      </w:r>
    </w:p>
    <w:p w14:paraId="6E40020B" w14:textId="77777777" w:rsidR="009539F2" w:rsidRDefault="009539F2" w:rsidP="009539F2">
      <w:pPr>
        <w:pStyle w:val="ac"/>
        <w:numPr>
          <w:ilvl w:val="0"/>
          <w:numId w:val="15"/>
        </w:numPr>
        <w:spacing w:before="100" w:beforeAutospacing="1" w:after="240" w:line="360" w:lineRule="auto"/>
        <w:contextualSpacing w:val="0"/>
        <w:jc w:val="both"/>
        <w:rPr>
          <w:noProof/>
        </w:rPr>
      </w:pPr>
      <w:r>
        <w:rPr>
          <w:rFonts w:hint="cs"/>
          <w:noProof/>
          <w:rtl/>
        </w:rPr>
        <w:t xml:space="preserve">כך, לדוגמה, בעניין </w:t>
      </w:r>
      <w:r w:rsidRPr="00984ED5">
        <w:rPr>
          <w:rFonts w:hint="cs"/>
          <w:b/>
          <w:bCs/>
          <w:noProof/>
          <w:rtl/>
        </w:rPr>
        <w:t>אסטרח</w:t>
      </w:r>
      <w:r>
        <w:rPr>
          <w:rFonts w:hint="cs"/>
          <w:b/>
          <w:bCs/>
          <w:noProof/>
          <w:rtl/>
        </w:rPr>
        <w:t>א</w:t>
      </w:r>
      <w:r w:rsidRPr="00984ED5">
        <w:rPr>
          <w:rFonts w:hint="cs"/>
          <w:b/>
          <w:bCs/>
          <w:noProof/>
          <w:rtl/>
        </w:rPr>
        <w:t>ן</w:t>
      </w:r>
      <w:r>
        <w:rPr>
          <w:rFonts w:hint="cs"/>
          <w:noProof/>
          <w:rtl/>
        </w:rPr>
        <w:t xml:space="preserve"> נאמר לעניין זה כדלקמן (עמ' 734-733):</w:t>
      </w:r>
    </w:p>
    <w:p w14:paraId="289B423B" w14:textId="77777777" w:rsidR="009539F2" w:rsidRDefault="009539F2" w:rsidP="009539F2">
      <w:pPr>
        <w:pStyle w:val="ac"/>
        <w:spacing w:before="100" w:beforeAutospacing="1" w:after="240" w:line="360" w:lineRule="auto"/>
        <w:ind w:right="680"/>
        <w:contextualSpacing w:val="0"/>
        <w:jc w:val="both"/>
      </w:pPr>
      <w:r>
        <w:rPr>
          <w:rFonts w:hint="cs"/>
          <w:rtl/>
        </w:rPr>
        <w:t xml:space="preserve">"בזכות הנטענת להחניית כלי-רכב על חלקה 22 מתקיים היסוד הקנייני החיובי הקבוע בסעיף 5 לחוק [...] השאלה שנותרה לבחינה היא, האם מתקיים בזכות זאת גם היסוד הקנייני השלילי הקבוע בסעיף 5 לחוק, לאמור </w:t>
      </w:r>
      <w:r>
        <w:rPr>
          <w:rtl/>
        </w:rPr>
        <w:t>–</w:t>
      </w:r>
      <w:r>
        <w:rPr>
          <w:rFonts w:hint="cs"/>
          <w:rtl/>
        </w:rPr>
        <w:t xml:space="preserve"> שהיא אינה מקנה לבעליה את הזכות להחזיק בחלקה 22 או בחלק ממנה. המבחן הוא, כזכור, קיומה או היעדרה של "זכות לשימוש </w:t>
      </w:r>
      <w:proofErr w:type="spellStart"/>
      <w:r>
        <w:rPr>
          <w:rFonts w:hint="cs"/>
          <w:rtl/>
        </w:rPr>
        <w:t>יחודי</w:t>
      </w:r>
      <w:proofErr w:type="spellEnd"/>
      <w:r>
        <w:rPr>
          <w:rFonts w:hint="cs"/>
          <w:rtl/>
        </w:rPr>
        <w:t xml:space="preserve"> בקטע מסוים כל שהוא במגרש" (רייכמן, שם). בענייננו, נעשה שימוש להחניית כלי-רכבם של המערערים במרכזה של חלקה 22. עיון בתצהיריהם של שני הצדדים יעלה, שלא נטען, שהחניה הייתה בחלק מסוים של החלקה, שיוחד לצורך זה. מכך עולה, שחלקה 22 או מרכזה שימשו להחניית כלי הרכב, "אבל ברור כי בכך אין בעל מכונית רוכש לעצמו כל זכות או חזקה במקום החניה" (ע"א 549/73, בעמ' 648) [...] בענייננו, אין מדובר בדרישה להחזיק בחלק מוגדר ומסוים מחלקה 22, לצורך החניית כלי-רכב בחלקה 22, אלא מתקיים בה גם היסוד הקנייני השלילי, הקבוע באותו סעיף."</w:t>
      </w:r>
    </w:p>
    <w:p w14:paraId="67488A01" w14:textId="77777777" w:rsidR="009539F2" w:rsidRDefault="009539F2" w:rsidP="009539F2">
      <w:pPr>
        <w:pStyle w:val="ac"/>
        <w:numPr>
          <w:ilvl w:val="0"/>
          <w:numId w:val="15"/>
        </w:numPr>
        <w:spacing w:before="100" w:beforeAutospacing="1" w:after="240" w:line="360" w:lineRule="auto"/>
        <w:contextualSpacing w:val="0"/>
        <w:jc w:val="both"/>
        <w:rPr>
          <w:noProof/>
        </w:rPr>
      </w:pPr>
      <w:r>
        <w:rPr>
          <w:rFonts w:hint="cs"/>
          <w:noProof/>
          <w:rtl/>
        </w:rPr>
        <w:t xml:space="preserve">כך גם בת"א (מחוזי מרכז) 5613-09-20 </w:t>
      </w:r>
      <w:r>
        <w:rPr>
          <w:rFonts w:hint="cs"/>
          <w:b/>
          <w:bCs/>
          <w:noProof/>
          <w:rtl/>
        </w:rPr>
        <w:t>בן מרגי נ' עיריית נס ציונה</w:t>
      </w:r>
      <w:r>
        <w:rPr>
          <w:rFonts w:hint="cs"/>
          <w:noProof/>
          <w:rtl/>
        </w:rPr>
        <w:t xml:space="preserve"> נדונה השאלה האם ניתן לקנות זיקת הנאה מכוח שנים בחניה, וגם שם נקבע כי יש לבחון האם הטענה נוגעת למקרקעין ספציפיים, באופן שיקנה לבעל זיקת ההנאה הנטענת זכות חזקה במקרקעין ספציפיים. וכך קבע בעניין זה כב' סגן הנשיא השופט </w:t>
      </w:r>
      <w:r>
        <w:rPr>
          <w:rFonts w:hint="cs"/>
          <w:b/>
          <w:bCs/>
          <w:noProof/>
          <w:rtl/>
        </w:rPr>
        <w:t>י' שפסר</w:t>
      </w:r>
      <w:r>
        <w:rPr>
          <w:rFonts w:hint="cs"/>
          <w:noProof/>
          <w:rtl/>
        </w:rPr>
        <w:t>:</w:t>
      </w:r>
    </w:p>
    <w:p w14:paraId="64E32785" w14:textId="77777777" w:rsidR="009539F2" w:rsidRDefault="009539F2" w:rsidP="009539F2">
      <w:pPr>
        <w:pStyle w:val="ac"/>
        <w:spacing w:before="100" w:beforeAutospacing="1" w:after="240" w:line="360" w:lineRule="auto"/>
        <w:ind w:right="680"/>
        <w:contextualSpacing w:val="0"/>
        <w:jc w:val="both"/>
      </w:pPr>
      <w:r>
        <w:rPr>
          <w:rFonts w:hint="cs"/>
          <w:rtl/>
        </w:rPr>
        <w:t xml:space="preserve">"במקרה דנן, טיב הזכות בגינה מבקשים התובעים לרשום זיקת הנאה הינה כזו שנובעת ממנה </w:t>
      </w:r>
      <w:r w:rsidRPr="0099423E">
        <w:rPr>
          <w:rFonts w:hint="cs"/>
          <w:b/>
          <w:bCs/>
          <w:rtl/>
        </w:rPr>
        <w:t>זכות החזקה</w:t>
      </w:r>
      <w:r>
        <w:rPr>
          <w:rFonts w:hint="cs"/>
          <w:rtl/>
        </w:rPr>
        <w:t xml:space="preserve"> ברצועת השטח. התובעים מבקשים לרשום זיקת הנאה בגין חניה בחלק ספציפי ומוגדר מרצועת השטח [...] חלק מסוים מרצועת השטח משמש עבור חניית התובעים, באופן המונע מהעירייה לעשות כל שימוש שהוא בשטח זה. [...] באופן ספציפי, ביחס לשימוש בשטח במקרקעין כחניה, נהוג להבחין בין זכות להחנות רכב על מקרקעי הזולת, </w:t>
      </w:r>
      <w:r w:rsidRPr="0099423E">
        <w:rPr>
          <w:rFonts w:hint="cs"/>
          <w:b/>
          <w:bCs/>
          <w:rtl/>
        </w:rPr>
        <w:t>מבלי</w:t>
      </w:r>
      <w:r w:rsidRPr="0099423E">
        <w:rPr>
          <w:rFonts w:hint="cs"/>
          <w:rtl/>
        </w:rPr>
        <w:t xml:space="preserve"> </w:t>
      </w:r>
      <w:r>
        <w:rPr>
          <w:rFonts w:hint="cs"/>
          <w:rtl/>
        </w:rPr>
        <w:t xml:space="preserve">שיוחד לכך מקום מסוים ואז מדובר בזיקת הנאה. זאת לעומת מקרה, בו הזכות מתייחסת לחניה </w:t>
      </w:r>
      <w:r w:rsidRPr="0099423E">
        <w:rPr>
          <w:rFonts w:hint="cs"/>
          <w:b/>
          <w:bCs/>
          <w:rtl/>
        </w:rPr>
        <w:t>במקום ספציפי</w:t>
      </w:r>
      <w:r w:rsidRPr="0099423E">
        <w:rPr>
          <w:rFonts w:hint="cs"/>
          <w:rtl/>
        </w:rPr>
        <w:t xml:space="preserve"> </w:t>
      </w:r>
      <w:r>
        <w:rPr>
          <w:rFonts w:hint="cs"/>
          <w:rtl/>
        </w:rPr>
        <w:t xml:space="preserve">ואז עסקינן בזכות שכירות או שאילה ולא זיקת הנאה" (עמ' 8-7 לפסק הדין; ההדגשות במקור </w:t>
      </w:r>
      <w:r>
        <w:rPr>
          <w:rtl/>
        </w:rPr>
        <w:t>–</w:t>
      </w:r>
      <w:r>
        <w:rPr>
          <w:rFonts w:hint="cs"/>
          <w:rtl/>
        </w:rPr>
        <w:t xml:space="preserve"> ב.ל.). </w:t>
      </w:r>
    </w:p>
    <w:p w14:paraId="79700D61" w14:textId="2133FEC3" w:rsidR="009539F2" w:rsidRDefault="003745AA" w:rsidP="009539F2">
      <w:pPr>
        <w:pStyle w:val="ac"/>
        <w:numPr>
          <w:ilvl w:val="0"/>
          <w:numId w:val="15"/>
        </w:numPr>
        <w:spacing w:before="100" w:beforeAutospacing="1" w:after="240" w:line="360" w:lineRule="auto"/>
        <w:contextualSpacing w:val="0"/>
        <w:jc w:val="both"/>
        <w:rPr>
          <w:noProof/>
        </w:rPr>
      </w:pPr>
      <w:r>
        <w:rPr>
          <w:rFonts w:hint="cs"/>
          <w:noProof/>
          <w:rtl/>
        </w:rPr>
        <w:t xml:space="preserve">גם </w:t>
      </w:r>
      <w:r w:rsidR="009539F2">
        <w:rPr>
          <w:rFonts w:hint="cs"/>
          <w:noProof/>
          <w:rtl/>
        </w:rPr>
        <w:t>במקרים נוספים</w:t>
      </w:r>
      <w:r>
        <w:rPr>
          <w:rFonts w:hint="cs"/>
          <w:noProof/>
          <w:rtl/>
        </w:rPr>
        <w:t xml:space="preserve"> נפסק</w:t>
      </w:r>
      <w:r w:rsidR="009539F2">
        <w:rPr>
          <w:rFonts w:hint="cs"/>
          <w:noProof/>
          <w:rtl/>
        </w:rPr>
        <w:t xml:space="preserve"> שכאשר נטענת טענה לזיקת הנאה לטובת חניה יש לבחון האם נטען לזכות </w:t>
      </w:r>
      <w:r w:rsidR="009539F2" w:rsidRPr="0099423E">
        <w:rPr>
          <w:rFonts w:hint="cs"/>
          <w:b/>
          <w:bCs/>
          <w:noProof/>
          <w:rtl/>
        </w:rPr>
        <w:t>ייחודית</w:t>
      </w:r>
      <w:r w:rsidR="009539F2">
        <w:rPr>
          <w:rFonts w:hint="cs"/>
          <w:noProof/>
          <w:rtl/>
        </w:rPr>
        <w:t xml:space="preserve"> בחניה, שכן במקרה זה השימוש במקרקעין לחניה לא יקנה זיקת הנאה מכוח שנים (ראו: </w:t>
      </w:r>
      <w:r w:rsidR="009539F2" w:rsidRPr="0099423E">
        <w:rPr>
          <w:noProof/>
          <w:rtl/>
        </w:rPr>
        <w:t xml:space="preserve">ה"פ </w:t>
      </w:r>
      <w:r w:rsidR="009539F2" w:rsidRPr="0099423E">
        <w:rPr>
          <w:noProof/>
          <w:rtl/>
        </w:rPr>
        <w:lastRenderedPageBreak/>
        <w:t xml:space="preserve">(מחוזי ת"א) 51742-06-17 </w:t>
      </w:r>
      <w:r w:rsidR="009539F2">
        <w:rPr>
          <w:rFonts w:hint="cs"/>
          <w:b/>
          <w:bCs/>
          <w:noProof/>
          <w:rtl/>
        </w:rPr>
        <w:t>נציגות הבית המשותף ברחוב טאוגר 48 תל אביב נ' נציגות הבית המשותף ברחוב פיליכובסקי 3 תל אביב</w:t>
      </w:r>
      <w:r w:rsidR="009539F2">
        <w:rPr>
          <w:rFonts w:hint="cs"/>
          <w:noProof/>
          <w:rtl/>
        </w:rPr>
        <w:t>, פס' 27</w:t>
      </w:r>
      <w:r w:rsidR="009539F2" w:rsidRPr="0099423E">
        <w:rPr>
          <w:noProof/>
          <w:rtl/>
        </w:rPr>
        <w:t xml:space="preserve"> (10.6.2020)</w:t>
      </w:r>
      <w:r w:rsidR="009539F2">
        <w:rPr>
          <w:rFonts w:hint="cs"/>
          <w:noProof/>
          <w:rtl/>
        </w:rPr>
        <w:t xml:space="preserve">; </w:t>
      </w:r>
      <w:r w:rsidR="009539F2" w:rsidRPr="005D7058">
        <w:rPr>
          <w:noProof/>
          <w:rtl/>
        </w:rPr>
        <w:t>(המפקח על המקרקעין פתח תקו</w:t>
      </w:r>
      <w:r w:rsidR="009539F2">
        <w:rPr>
          <w:rFonts w:hint="cs"/>
          <w:noProof/>
          <w:rtl/>
        </w:rPr>
        <w:t>ו</w:t>
      </w:r>
      <w:r w:rsidR="009539F2" w:rsidRPr="005D7058">
        <w:rPr>
          <w:noProof/>
          <w:rtl/>
        </w:rPr>
        <w:t xml:space="preserve">ה) 649/21 </w:t>
      </w:r>
      <w:r w:rsidR="009539F2" w:rsidRPr="005D7058">
        <w:rPr>
          <w:b/>
          <w:bCs/>
          <w:noProof/>
          <w:rtl/>
        </w:rPr>
        <w:t>נציגות הבית המשותף ברחוב בילו 15 פתח תקווה נ' רז</w:t>
      </w:r>
      <w:r w:rsidR="009539F2">
        <w:rPr>
          <w:rFonts w:hint="cs"/>
          <w:noProof/>
          <w:rtl/>
        </w:rPr>
        <w:t>, פס' 40-38</w:t>
      </w:r>
      <w:r w:rsidR="009539F2" w:rsidRPr="005D7058">
        <w:rPr>
          <w:noProof/>
          <w:rtl/>
        </w:rPr>
        <w:t xml:space="preserve"> (26.10.2022)</w:t>
      </w:r>
      <w:r w:rsidR="009539F2">
        <w:rPr>
          <w:rFonts w:hint="cs"/>
          <w:noProof/>
          <w:rtl/>
        </w:rPr>
        <w:t>).</w:t>
      </w:r>
    </w:p>
    <w:p w14:paraId="5ABE29F0" w14:textId="77777777" w:rsidR="009539F2" w:rsidRDefault="009539F2" w:rsidP="009539F2">
      <w:pPr>
        <w:pStyle w:val="ac"/>
        <w:numPr>
          <w:ilvl w:val="0"/>
          <w:numId w:val="15"/>
        </w:numPr>
        <w:spacing w:before="100" w:beforeAutospacing="1" w:after="240" w:line="360" w:lineRule="auto"/>
        <w:contextualSpacing w:val="0"/>
        <w:jc w:val="both"/>
        <w:rPr>
          <w:noProof/>
        </w:rPr>
      </w:pPr>
      <w:r>
        <w:rPr>
          <w:rFonts w:hint="cs"/>
          <w:noProof/>
          <w:rtl/>
        </w:rPr>
        <w:t>ודוק. ההתייחסות ל"מקרקעין ספציפיים" אינה מוגבלת לשטח המצומצם שמתחת לרכב המחנה. ב</w:t>
      </w:r>
      <w:r w:rsidRPr="005D7058">
        <w:rPr>
          <w:noProof/>
          <w:rtl/>
        </w:rPr>
        <w:t xml:space="preserve">ת"א (מחוזי חי') 13117-10-18 </w:t>
      </w:r>
      <w:r w:rsidRPr="005D7058">
        <w:rPr>
          <w:b/>
          <w:bCs/>
          <w:noProof/>
          <w:rtl/>
        </w:rPr>
        <w:t>סובח נ' יובל</w:t>
      </w:r>
      <w:r w:rsidRPr="005D7058">
        <w:rPr>
          <w:noProof/>
          <w:rtl/>
        </w:rPr>
        <w:t xml:space="preserve"> (7.9.2022)</w:t>
      </w:r>
      <w:r>
        <w:rPr>
          <w:rFonts w:hint="cs"/>
          <w:noProof/>
          <w:rtl/>
        </w:rPr>
        <w:t xml:space="preserve"> (להלן: "</w:t>
      </w:r>
      <w:r>
        <w:rPr>
          <w:rFonts w:hint="cs"/>
          <w:b/>
          <w:bCs/>
          <w:noProof/>
          <w:rtl/>
        </w:rPr>
        <w:t>עניין סובח</w:t>
      </w:r>
      <w:r>
        <w:rPr>
          <w:rFonts w:hint="cs"/>
          <w:noProof/>
          <w:rtl/>
        </w:rPr>
        <w:t>") נקבע שגם אם הטענה לזיקת הנאה לטובת חניה מתייחסת לחניה שאינה מסוימת, אלא לזכות להחנות במיקום כלשהו במקרקעין מסוימים, באופן שיפגע בצורה ממשית באפשרותם של הבעלים להשתמש במקרקעין, גם אז יש לראות בכך כשלילת החזקה במקרקעין. וכפי שנקבע בפסק הדין (פס' 39-38):</w:t>
      </w:r>
    </w:p>
    <w:p w14:paraId="4C5BC503" w14:textId="77777777" w:rsidR="009539F2" w:rsidRPr="00D16919" w:rsidRDefault="009539F2" w:rsidP="009539F2">
      <w:pPr>
        <w:pStyle w:val="ac"/>
        <w:spacing w:before="100" w:beforeAutospacing="1" w:after="240" w:line="360" w:lineRule="auto"/>
        <w:ind w:right="680"/>
        <w:contextualSpacing w:val="0"/>
        <w:jc w:val="both"/>
      </w:pPr>
      <w:r>
        <w:rPr>
          <w:rFonts w:hint="cs"/>
          <w:rtl/>
        </w:rPr>
        <w:t>"</w:t>
      </w:r>
      <w:r w:rsidRPr="00D16919">
        <w:rPr>
          <w:rtl/>
        </w:rPr>
        <w:t xml:space="preserve">במקרה דנן, זכות החניה המדוברת אינה ביחס למקרקעין רחבי היקף, כגון מגרש בו מקומות חניה רבים (מגרש חקלאי, מקרקעין שאינם מצויים בתוככי שכונה בעיר מגורים וכיו"ב), כך שהתובעות יוכלו להחנות רכבם באופן שאין בו כדי להוות 'שימוש ייחודי', לחלופין באופן שלא יהווה הלכה למעשה כדי החזקה יומיומית של זכויות בעל המקרקעין. במקרה שבפניי ההיפך הינו הנכון. </w:t>
      </w:r>
      <w:r w:rsidRPr="00A026B9">
        <w:rPr>
          <w:b/>
          <w:bCs/>
          <w:rtl/>
        </w:rPr>
        <w:t xml:space="preserve">זכות החניה הנתבעת הינה זכות שאינה מוגבלת בזמן, שתיעשה על בסיס יומיומי, ביחס למקרקעין ששטחו מוגבל ומצומצם בהחלט היכול להכיל בין 3-4 חניות לכל היותר. חניית רכב על ידי התובעות במקרקעין השייך לנתבעים 1-3 על בסיס יומיומי מהווה נגיסה משמעותית של 25%-33% מזכויות הקניין שלהם כבעלים של המקרקעין. דבר זה אינו תואם את תכליתה של זיקת הנאה. יתרה מכך, במצב המתואר ייתכן ואף סביר כי זכות החניה של הבעלים תיסוג לאחור על בסיס יומיומי וללא מגבלת זמן עקב זכות הנאת הזיקה של התובעות, כך שבעלי המקרקעין הם אלה "שיאלצו לכתת רכבם ורגליהם" לצורך מציאת מקום חניה ברחובות הסובבים ולא במקרקעין השייכים להם, וזאת כיוון ומקום החניה במקרקעין המצומצם ממילא 'נתפס' על ידי בנות משפחת </w:t>
      </w:r>
      <w:proofErr w:type="spellStart"/>
      <w:r w:rsidRPr="00A026B9">
        <w:rPr>
          <w:b/>
          <w:bCs/>
          <w:rtl/>
        </w:rPr>
        <w:t>סובח</w:t>
      </w:r>
      <w:proofErr w:type="spellEnd"/>
      <w:r w:rsidRPr="00A026B9">
        <w:rPr>
          <w:b/>
          <w:bCs/>
          <w:rtl/>
        </w:rPr>
        <w:t>. היעתרות לתביעה משמעותה היפוך היוצרות בין מעמדו העליון מבחינה נורמטיבית של הבעלים ביחס למקרקעין השייכים לו, לבין זכותו של פלוני הקיימת לו בשל זיקת הנאה בלבד</w:t>
      </w:r>
      <w:r w:rsidRPr="00D16919">
        <w:rPr>
          <w:rtl/>
        </w:rPr>
        <w:t>.</w:t>
      </w:r>
    </w:p>
    <w:p w14:paraId="77A1E259" w14:textId="77777777" w:rsidR="009539F2" w:rsidRPr="00D16919" w:rsidRDefault="009539F2" w:rsidP="009539F2">
      <w:pPr>
        <w:pStyle w:val="ac"/>
        <w:spacing w:before="100" w:beforeAutospacing="1" w:after="240" w:line="360" w:lineRule="auto"/>
        <w:ind w:right="680"/>
        <w:contextualSpacing w:val="0"/>
        <w:jc w:val="both"/>
        <w:rPr>
          <w:rtl/>
        </w:rPr>
      </w:pPr>
      <w:r w:rsidRPr="00D16919">
        <w:rPr>
          <w:rtl/>
        </w:rPr>
        <w:t xml:space="preserve">עוד אציין כי במציאות של ימינו, בתקופתנו אנו, הזכות לחניה בערים מסוימות בארץ הינה זכות כלכלית יקרת ערך, ששוויה יכול להגיע לשווי של עשרות אלפי שקלים רבים ומעלה. </w:t>
      </w:r>
      <w:r w:rsidRPr="00A026B9">
        <w:rPr>
          <w:b/>
          <w:bCs/>
          <w:rtl/>
        </w:rPr>
        <w:t>אך ברור כי אין תכליתה של זיקת הנאה כדי להוות אמצעי לרכישת זכויות כלכליות יקרות ערך באופן בלעדי, ובאופן שזכויות כלכליות אלה יגרעו הלכה למעשה באופן קבוע מן הבעלים, אותן רכש כדין</w:t>
      </w:r>
      <w:r>
        <w:rPr>
          <w:rFonts w:hint="cs"/>
          <w:rtl/>
        </w:rPr>
        <w:t xml:space="preserve">" (ההדגשה הוספה </w:t>
      </w:r>
      <w:r>
        <w:rPr>
          <w:rtl/>
        </w:rPr>
        <w:t>–</w:t>
      </w:r>
      <w:r>
        <w:rPr>
          <w:rFonts w:hint="cs"/>
          <w:rtl/>
        </w:rPr>
        <w:t xml:space="preserve"> ב.ל.).</w:t>
      </w:r>
    </w:p>
    <w:p w14:paraId="18755D81" w14:textId="77777777" w:rsidR="009539F2" w:rsidRDefault="009539F2" w:rsidP="009539F2">
      <w:pPr>
        <w:pStyle w:val="ac"/>
        <w:numPr>
          <w:ilvl w:val="0"/>
          <w:numId w:val="15"/>
        </w:numPr>
        <w:spacing w:before="100" w:beforeAutospacing="1" w:after="240" w:line="360" w:lineRule="auto"/>
        <w:contextualSpacing w:val="0"/>
        <w:jc w:val="both"/>
        <w:rPr>
          <w:noProof/>
        </w:rPr>
      </w:pPr>
      <w:r>
        <w:rPr>
          <w:rFonts w:hint="cs"/>
          <w:noProof/>
          <w:rtl/>
        </w:rPr>
        <w:t xml:space="preserve">נסכם את הדברים: שימוש במקרקעין לשם חניה, שמקים למעשה זכות קבועה בחניה מסוימת </w:t>
      </w:r>
      <w:r>
        <w:rPr>
          <w:noProof/>
          <w:rtl/>
        </w:rPr>
        <w:t>–</w:t>
      </w:r>
      <w:r>
        <w:rPr>
          <w:rFonts w:hint="cs"/>
          <w:noProof/>
          <w:rtl/>
        </w:rPr>
        <w:t xml:space="preserve"> אינו יכול להיחשב כ"זכות הראויה להוות זיקת הנאה". כאשר מדובר בטענה לזכות להחנות במקרקעין </w:t>
      </w:r>
      <w:r>
        <w:rPr>
          <w:rFonts w:hint="cs"/>
          <w:noProof/>
          <w:rtl/>
        </w:rPr>
        <w:lastRenderedPageBreak/>
        <w:t xml:space="preserve">שאינם ספציפיים, יש לבחון האם מבחינה מהותית הענקת זיקת הנאה תפגע בצורה משמעותית בזכויות הבעלים, ובאפשרותו ליהנות מן המקרקעין שבבעלותו. </w:t>
      </w:r>
    </w:p>
    <w:p w14:paraId="6990EA5D" w14:textId="77777777" w:rsidR="009539F2" w:rsidRDefault="009539F2" w:rsidP="009539F2">
      <w:pPr>
        <w:pStyle w:val="ac"/>
        <w:numPr>
          <w:ilvl w:val="0"/>
          <w:numId w:val="15"/>
        </w:numPr>
        <w:spacing w:before="100" w:beforeAutospacing="1" w:after="240" w:line="360" w:lineRule="auto"/>
        <w:contextualSpacing w:val="0"/>
        <w:jc w:val="both"/>
        <w:rPr>
          <w:noProof/>
        </w:rPr>
      </w:pPr>
      <w:r>
        <w:rPr>
          <w:rFonts w:hint="cs"/>
          <w:noProof/>
          <w:rtl/>
        </w:rPr>
        <w:t>נבחן כעת את המקרה דנן, לאור הפסיקה האמורה ביחס לזיקת הנאה.</w:t>
      </w:r>
    </w:p>
    <w:p w14:paraId="777BDD14" w14:textId="77777777" w:rsidR="009539F2" w:rsidRDefault="009539F2" w:rsidP="00846C80">
      <w:pPr>
        <w:spacing w:before="100" w:beforeAutospacing="1" w:after="240" w:line="360" w:lineRule="auto"/>
        <w:contextualSpacing w:val="0"/>
        <w:jc w:val="both"/>
        <w:outlineLvl w:val="1"/>
        <w:rPr>
          <w:b/>
          <w:bCs/>
          <w:u w:val="single"/>
          <w:rtl/>
        </w:rPr>
      </w:pPr>
      <w:r>
        <w:rPr>
          <w:rFonts w:hint="cs"/>
          <w:b/>
          <w:bCs/>
          <w:u w:val="single"/>
          <w:rtl/>
        </w:rPr>
        <w:t>שינוי החזית בסיכומיה של הנתבעת</w:t>
      </w:r>
    </w:p>
    <w:p w14:paraId="65DD4CA9" w14:textId="77777777" w:rsidR="009539F2" w:rsidRPr="009E6009"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t>בטרם אבחן את יישום הפסיקה על המקרה שלפניי, יש ליתן את הדעת על שינוי החזית שנעשה בסיכומי הנתבעת.</w:t>
      </w:r>
    </w:p>
    <w:p w14:paraId="75D2EE18" w14:textId="62C12FFE" w:rsidR="009539F2" w:rsidRPr="00645F51"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t xml:space="preserve">לאורך כל ההליך הנתבעת הציגה תמונה עובדתית לפיה אביה ז"ל ובני משפחתה מחנים במשך שנים רבות בחניה מס' 17 דווקא, וכי שימוש זה הקים זיקת הנאה מכוח שנים </w:t>
      </w:r>
      <w:r w:rsidRPr="00B0706C">
        <w:rPr>
          <w:rFonts w:hint="cs"/>
          <w:rtl/>
        </w:rPr>
        <w:t>בחניה מס' 17 לטובת</w:t>
      </w:r>
      <w:r>
        <w:rPr>
          <w:rFonts w:hint="cs"/>
          <w:rtl/>
        </w:rPr>
        <w:t xml:space="preserve"> דירה 17, שתוכנה זכות לשימוש ייחודי בחניה מס' 17, באופן שגובר על זכותם של בעלי הדירות המוצמדות לחנות בחניה זו. </w:t>
      </w:r>
    </w:p>
    <w:p w14:paraId="380514D7" w14:textId="3872E563" w:rsidR="009539F2" w:rsidRPr="00B0706C"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t>בשלב הסיכומים העלתה הנתבעת לראשונה טענה שונה, ולפיה אביה ז"ל ובני משפחתה לא החנו בחניה</w:t>
      </w:r>
      <w:r w:rsidR="003745AA">
        <w:rPr>
          <w:rFonts w:hint="cs"/>
          <w:rtl/>
        </w:rPr>
        <w:t xml:space="preserve"> מס'</w:t>
      </w:r>
      <w:r>
        <w:rPr>
          <w:rFonts w:hint="cs"/>
          <w:rtl/>
        </w:rPr>
        <w:t xml:space="preserve"> 17 דווקא, אלא החנו בכל החניות המשותפות, על בסיס מקום פנוי. בהינתן הפסיקה עליה עמדתי לעיל, מובן ששינוי החזית נעשה על-מנת לשפר את עמדתה של הנתבעת בהליך, שכן הפסיקה קבעה בצורה ברורה שלא ניתן לקנות זיקת הנאה מכוח שנים, במקרה בו השימוש שנעשה במקרקעין הוא שימוש ששולל את זכות החזקה במקרקעין, כפי שטענה הנתבעת מלכתחילה. </w:t>
      </w:r>
    </w:p>
    <w:p w14:paraId="35FD5B57" w14:textId="77777777" w:rsidR="009539F2"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t xml:space="preserve">אקדים ואומר, שראיתי לדחות את טענתה החדשה של הנתבעת משלוש סיבות: (1) בראש ובראשונה </w:t>
      </w:r>
      <w:r>
        <w:rPr>
          <w:rtl/>
        </w:rPr>
        <w:t>–</w:t>
      </w:r>
      <w:r>
        <w:rPr>
          <w:rFonts w:hint="cs"/>
          <w:rtl/>
        </w:rPr>
        <w:t xml:space="preserve"> אין לאפשר שינוי חזית במהלך הסיכומים; (2) הנתבעת לא הוכיחה את טענתה העובדתית לשימוש רצוף שעשו אביה ז"ל ובני משפחתה בחניות המשותפות על בסיס מקום פנוי; וכן (3) בנסיבות העניין, גם זכות לשימוש על בסיס מקום פנוי בכלל החניות המשותפות מהווה שלילת חזקה מבעלי הדירות המוצמדות, ומשכך אין להעניק זיקת הנאה באופן זה, כפי שנקבע בעניין </w:t>
      </w:r>
      <w:proofErr w:type="spellStart"/>
      <w:r>
        <w:rPr>
          <w:rFonts w:hint="cs"/>
          <w:b/>
          <w:bCs/>
          <w:rtl/>
        </w:rPr>
        <w:t>סובח</w:t>
      </w:r>
      <w:proofErr w:type="spellEnd"/>
      <w:r>
        <w:rPr>
          <w:rFonts w:hint="cs"/>
          <w:rtl/>
        </w:rPr>
        <w:t>.</w:t>
      </w:r>
    </w:p>
    <w:p w14:paraId="53A5ED46" w14:textId="77777777" w:rsidR="009539F2" w:rsidRPr="0023138B" w:rsidRDefault="009539F2" w:rsidP="00846C80">
      <w:pPr>
        <w:spacing w:before="100" w:beforeAutospacing="1" w:after="240" w:line="360" w:lineRule="auto"/>
        <w:contextualSpacing w:val="0"/>
        <w:jc w:val="both"/>
        <w:outlineLvl w:val="1"/>
        <w:rPr>
          <w:b/>
          <w:bCs/>
          <w:u w:val="single"/>
        </w:rPr>
      </w:pPr>
      <w:r>
        <w:rPr>
          <w:rFonts w:hint="cs"/>
          <w:b/>
          <w:bCs/>
          <w:u w:val="single"/>
          <w:rtl/>
        </w:rPr>
        <w:t>יש לדחות את טענתה החדשה של הנתבעת בשל שינוי חזית</w:t>
      </w:r>
    </w:p>
    <w:p w14:paraId="1F8C7A03" w14:textId="1CEA5C70" w:rsidR="009539F2" w:rsidRPr="00B0706C"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t>בטרם אפרט את הדברים, ראיתי לנכון להציג באופן ברור את עמדתה העקבית של הנתבעת במהלך ההליך, בקשר עם השימוש הייחודי שעשו אביה ז"ל ובני משפחתה בחניה מס</w:t>
      </w:r>
      <w:r w:rsidR="003745AA">
        <w:rPr>
          <w:rFonts w:hint="cs"/>
          <w:rtl/>
        </w:rPr>
        <w:t>'</w:t>
      </w:r>
      <w:r>
        <w:rPr>
          <w:rFonts w:hint="cs"/>
          <w:rtl/>
        </w:rPr>
        <w:t xml:space="preserve"> 17 דווקא.</w:t>
      </w:r>
    </w:p>
    <w:p w14:paraId="6B3187EC" w14:textId="77777777" w:rsidR="009539F2" w:rsidRPr="004156FB"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t>בפסקאות 27-26 לכתב ההגנה מטעם הנתבעת נטען כדלקמן:</w:t>
      </w:r>
    </w:p>
    <w:p w14:paraId="663869D5" w14:textId="77777777" w:rsidR="009539F2" w:rsidRDefault="009539F2" w:rsidP="009539F2">
      <w:pPr>
        <w:pStyle w:val="ac"/>
        <w:spacing w:before="100" w:beforeAutospacing="1" w:after="240" w:line="360" w:lineRule="auto"/>
        <w:ind w:right="680"/>
        <w:contextualSpacing w:val="0"/>
        <w:jc w:val="both"/>
        <w:rPr>
          <w:rtl/>
        </w:rPr>
      </w:pPr>
      <w:r>
        <w:rPr>
          <w:rFonts w:hint="cs"/>
          <w:rtl/>
        </w:rPr>
        <w:t xml:space="preserve">"הנתבע אינו מתנגד לבקשת התובעים לבצע שרטוט מחדש על פני שטח החנייה על מנת שהחניות יסומנו כנדרש בהתאם למפורט </w:t>
      </w:r>
      <w:proofErr w:type="spellStart"/>
      <w:r>
        <w:rPr>
          <w:rFonts w:hint="cs"/>
          <w:rtl/>
        </w:rPr>
        <w:t>בתשריט</w:t>
      </w:r>
      <w:proofErr w:type="spellEnd"/>
      <w:r>
        <w:rPr>
          <w:rFonts w:hint="cs"/>
          <w:rtl/>
        </w:rPr>
        <w:t xml:space="preserve">, דבר שיביא ל"היווצרות" שתי חניות </w:t>
      </w:r>
      <w:r>
        <w:rPr>
          <w:rFonts w:hint="cs"/>
          <w:rtl/>
        </w:rPr>
        <w:lastRenderedPageBreak/>
        <w:t xml:space="preserve">נוספות לדיירי הבניין, </w:t>
      </w:r>
      <w:r>
        <w:rPr>
          <w:rFonts w:hint="cs"/>
          <w:b/>
          <w:bCs/>
          <w:rtl/>
        </w:rPr>
        <w:t xml:space="preserve">וזאת כל עוד חנייתו מס' 17, </w:t>
      </w:r>
      <w:r>
        <w:rPr>
          <w:rFonts w:hint="cs"/>
          <w:rtl/>
        </w:rPr>
        <w:t xml:space="preserve">תמשיך לשמש את הנתבע (ובני משפחתו), בהתאם לזיקת ההנאה שרכש לאחר שימוש רציף </w:t>
      </w:r>
      <w:r>
        <w:rPr>
          <w:rFonts w:hint="cs"/>
          <w:b/>
          <w:bCs/>
          <w:rtl/>
        </w:rPr>
        <w:t>בחניה זו</w:t>
      </w:r>
      <w:r>
        <w:rPr>
          <w:rFonts w:hint="cs"/>
          <w:rtl/>
        </w:rPr>
        <w:t xml:space="preserve"> במשך 48 שנים, כמפורט בכתב הגנה זה.</w:t>
      </w:r>
    </w:p>
    <w:p w14:paraId="1D410F63" w14:textId="77777777" w:rsidR="009539F2" w:rsidRPr="00A214AE" w:rsidRDefault="009539F2" w:rsidP="009539F2">
      <w:pPr>
        <w:pStyle w:val="ac"/>
        <w:spacing w:before="100" w:beforeAutospacing="1" w:after="240" w:line="360" w:lineRule="auto"/>
        <w:ind w:right="680"/>
        <w:contextualSpacing w:val="0"/>
        <w:jc w:val="both"/>
      </w:pPr>
      <w:r>
        <w:rPr>
          <w:rFonts w:hint="cs"/>
          <w:rtl/>
        </w:rPr>
        <w:t xml:space="preserve">אולם, הנתבע מתנגד בכל תוקף לסילוקו מהחניה, כמפורט בכתב הגנה זה, </w:t>
      </w:r>
      <w:r w:rsidRPr="004156FB">
        <w:rPr>
          <w:rFonts w:hint="cs"/>
          <w:rtl/>
        </w:rPr>
        <w:t>לאור זה שרכש "זיקת הנאה מכוח השנים"</w:t>
      </w:r>
      <w:r>
        <w:rPr>
          <w:rFonts w:hint="cs"/>
          <w:b/>
          <w:bCs/>
          <w:rtl/>
        </w:rPr>
        <w:t xml:space="preserve"> בחנייה מס' 17</w:t>
      </w:r>
      <w:r>
        <w:rPr>
          <w:rFonts w:hint="cs"/>
          <w:rtl/>
        </w:rPr>
        <w:t xml:space="preserve">, וזאת במשך 48 שנים, כמפורט לעיל. הנתבע כאמור אינו מחזיק בחניה, אלא הוא ובני משפחתו עשו ועושים שימוש </w:t>
      </w:r>
      <w:r>
        <w:rPr>
          <w:rFonts w:hint="cs"/>
          <w:b/>
          <w:bCs/>
          <w:rtl/>
        </w:rPr>
        <w:t>בחניה זו</w:t>
      </w:r>
      <w:r>
        <w:rPr>
          <w:rFonts w:hint="cs"/>
          <w:rtl/>
        </w:rPr>
        <w:t xml:space="preserve"> במשך 48 שנים כדין" (ההדגשה הוספה </w:t>
      </w:r>
      <w:r>
        <w:rPr>
          <w:rtl/>
        </w:rPr>
        <w:t>–</w:t>
      </w:r>
      <w:r>
        <w:rPr>
          <w:rFonts w:hint="cs"/>
          <w:rtl/>
        </w:rPr>
        <w:t xml:space="preserve"> ב.ל.).</w:t>
      </w:r>
    </w:p>
    <w:p w14:paraId="63F7F7DE" w14:textId="77777777" w:rsidR="009539F2" w:rsidRPr="00A214AE"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t xml:space="preserve">כך נטען גם בהמשך כתב ההגנה (כל ההדגשות הוספו </w:t>
      </w:r>
      <w:r>
        <w:rPr>
          <w:rtl/>
        </w:rPr>
        <w:t>–</w:t>
      </w:r>
      <w:r>
        <w:rPr>
          <w:rFonts w:hint="cs"/>
          <w:rtl/>
        </w:rPr>
        <w:t xml:space="preserve"> ב.ל.): "נמצא כי הנתבע חונה בחניה מס' 17 </w:t>
      </w:r>
      <w:r w:rsidRPr="000A26FD">
        <w:rPr>
          <w:rFonts w:hint="cs"/>
          <w:b/>
          <w:bCs/>
          <w:rtl/>
        </w:rPr>
        <w:t>שהיא גורעת מזכות הבעלות של המקרקעין</w:t>
      </w:r>
      <w:r>
        <w:rPr>
          <w:rFonts w:hint="cs"/>
          <w:rtl/>
        </w:rPr>
        <w:t xml:space="preserve">" (פס' 29.א. לכתב ההגנה); "השימוש שעושה הנתבע </w:t>
      </w:r>
      <w:r w:rsidRPr="000A26FD">
        <w:rPr>
          <w:rFonts w:hint="cs"/>
          <w:b/>
          <w:bCs/>
          <w:rtl/>
        </w:rPr>
        <w:t>בחניה מס' 17</w:t>
      </w:r>
      <w:r>
        <w:rPr>
          <w:rFonts w:hint="cs"/>
          <w:rtl/>
        </w:rPr>
        <w:t xml:space="preserve">" (פס' 29.ב. לכתב ההגנה); "הנתבע ובני משפחתו עשו שימוש </w:t>
      </w:r>
      <w:r w:rsidRPr="000A26FD">
        <w:rPr>
          <w:rFonts w:hint="cs"/>
          <w:b/>
          <w:bCs/>
          <w:rtl/>
        </w:rPr>
        <w:t>בחניה מס' 17</w:t>
      </w:r>
      <w:r>
        <w:rPr>
          <w:rFonts w:hint="cs"/>
          <w:rtl/>
        </w:rPr>
        <w:t xml:space="preserve"> במשך 48 שנים, ובאופן רציף" (פס' 29.ג. לכתב ההגנה); "הנתבע ובני משפחתו עשו ועושים שימוש רציף </w:t>
      </w:r>
      <w:r w:rsidRPr="000A26FD">
        <w:rPr>
          <w:rFonts w:hint="cs"/>
          <w:b/>
          <w:bCs/>
          <w:rtl/>
        </w:rPr>
        <w:t>בחניה מס' 17</w:t>
      </w:r>
      <w:r>
        <w:rPr>
          <w:rFonts w:hint="cs"/>
          <w:rtl/>
        </w:rPr>
        <w:t xml:space="preserve"> (פס' 31 לכתב ההגנה); "הנתבע חונה </w:t>
      </w:r>
      <w:r w:rsidRPr="000A26FD">
        <w:rPr>
          <w:rFonts w:hint="cs"/>
          <w:b/>
          <w:bCs/>
          <w:rtl/>
        </w:rPr>
        <w:t>בחניה מס' 17</w:t>
      </w:r>
      <w:r>
        <w:rPr>
          <w:rFonts w:hint="cs"/>
          <w:rtl/>
        </w:rPr>
        <w:t xml:space="preserve"> הוא ובני משפחתו כ-48 שנים ברצף" (פסק 37 לכתב ההגנה</w:t>
      </w:r>
      <w:r w:rsidRPr="000A26FD">
        <w:rPr>
          <w:rFonts w:hint="cs"/>
          <w:rtl/>
        </w:rPr>
        <w:t xml:space="preserve">). </w:t>
      </w:r>
    </w:p>
    <w:p w14:paraId="3AECF49D" w14:textId="65E8EDA2" w:rsidR="009539F2" w:rsidRPr="00A214AE"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t xml:space="preserve">כך טענה הנתבעת גם בבקשה לסילוק על הסף "המבקש רכש זיקת הנאה </w:t>
      </w:r>
      <w:r w:rsidRPr="000A26FD">
        <w:rPr>
          <w:rFonts w:hint="cs"/>
          <w:b/>
          <w:bCs/>
          <w:rtl/>
        </w:rPr>
        <w:t>בחניה מס' 17 מושא התביעה</w:t>
      </w:r>
      <w:r>
        <w:rPr>
          <w:rFonts w:hint="cs"/>
          <w:rtl/>
        </w:rPr>
        <w:t xml:space="preserve">, וזאת מכוח שימוש רצוף בה במשך 43 שנה" (פס' 18 לבקשה לסילוק על הסף; ההדגשה הוספה </w:t>
      </w:r>
      <w:r>
        <w:rPr>
          <w:rtl/>
        </w:rPr>
        <w:t>–</w:t>
      </w:r>
      <w:r>
        <w:rPr>
          <w:rFonts w:hint="cs"/>
          <w:rtl/>
        </w:rPr>
        <w:t xml:space="preserve"> ב.ל.).</w:t>
      </w:r>
    </w:p>
    <w:p w14:paraId="2F70F344" w14:textId="33F13B7D" w:rsidR="009539F2" w:rsidRPr="000A26FD"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t>גם בתצהירה של הנתבעת נטען בצורה ברורה ומפורשת שאביה ז"ל החנה את רכבו בחניה מס' 17, כדלקמן:</w:t>
      </w:r>
      <w:r w:rsidRPr="000A26FD">
        <w:rPr>
          <w:rFonts w:hint="cs"/>
          <w:rtl/>
        </w:rPr>
        <w:t xml:space="preserve"> </w:t>
      </w:r>
      <w:r>
        <w:rPr>
          <w:rFonts w:hint="cs"/>
          <w:rtl/>
        </w:rPr>
        <w:t xml:space="preserve">"במשך השנים, אבי נהג להחנות את רכבו </w:t>
      </w:r>
      <w:r w:rsidRPr="000A26FD">
        <w:rPr>
          <w:rFonts w:hint="cs"/>
          <w:rtl/>
        </w:rPr>
        <w:t xml:space="preserve">באזור של </w:t>
      </w:r>
      <w:r w:rsidRPr="000A26FD">
        <w:rPr>
          <w:rFonts w:hint="cs"/>
          <w:b/>
          <w:bCs/>
          <w:rtl/>
        </w:rPr>
        <w:t>חניה מס' 17 כיום</w:t>
      </w:r>
      <w:r>
        <w:rPr>
          <w:rFonts w:hint="cs"/>
          <w:rtl/>
        </w:rPr>
        <w:t xml:space="preserve">. לאחר שהבניין שופץ (לפני כ-4.5 שנים, כנטען בפסקה האחרונה בכתב התביעה) ומוספרו החניות במגרש, נהג אבי להחנות את רכבו בחניה </w:t>
      </w:r>
      <w:r w:rsidRPr="000A26FD">
        <w:rPr>
          <w:rFonts w:hint="cs"/>
          <w:b/>
          <w:bCs/>
          <w:rtl/>
        </w:rPr>
        <w:t>המסומנת כיום כחניה מס' 17</w:t>
      </w:r>
      <w:r>
        <w:rPr>
          <w:rFonts w:hint="cs"/>
          <w:rtl/>
        </w:rPr>
        <w:t xml:space="preserve">" (פס' 6 לתצהירה של הנתבעת; ההדגשה הוספה </w:t>
      </w:r>
      <w:r>
        <w:rPr>
          <w:rtl/>
        </w:rPr>
        <w:t>–</w:t>
      </w:r>
      <w:r>
        <w:rPr>
          <w:rFonts w:hint="cs"/>
          <w:rtl/>
        </w:rPr>
        <w:t xml:space="preserve"> ב.ל.). כן הצהירה הנתבעת כי "במשך כל אותם השנים (למעלה מ-40 שנה), בהן חנה אבי ברציפות במגרש החנייה הצמוד לבניין (</w:t>
      </w:r>
      <w:r w:rsidRPr="000A26FD">
        <w:rPr>
          <w:rFonts w:hint="cs"/>
          <w:b/>
          <w:bCs/>
          <w:rtl/>
        </w:rPr>
        <w:t>באזור חניה מס' 17 כיום</w:t>
      </w:r>
      <w:r>
        <w:rPr>
          <w:rFonts w:hint="cs"/>
          <w:rtl/>
        </w:rPr>
        <w:t xml:space="preserve">)" (פס' 9 לתצהירה של הנתבעת; ההדגשה הוספה </w:t>
      </w:r>
      <w:r>
        <w:rPr>
          <w:rtl/>
        </w:rPr>
        <w:t>–</w:t>
      </w:r>
      <w:r>
        <w:rPr>
          <w:rFonts w:hint="cs"/>
          <w:rtl/>
        </w:rPr>
        <w:t xml:space="preserve"> ב.ל.).</w:t>
      </w:r>
    </w:p>
    <w:p w14:paraId="1B315571" w14:textId="5614640A" w:rsidR="009539F2" w:rsidRPr="00D0479B"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t xml:space="preserve">לא זאת אף זאת. כמתואר לעיל, במסגרת דיון קדם המשפט הראשון שנערך בהליך הוצע לצדדים לסיים את ההליך בכך שבעלי הדירות המוצמדות יאפשרו </w:t>
      </w:r>
      <w:r w:rsidR="003745AA">
        <w:rPr>
          <w:rFonts w:hint="cs"/>
          <w:rtl/>
        </w:rPr>
        <w:t>לנתבעת להחנות בחניות המשותפות על בסיס מקום פנוי, ובמקרה זה הנתבעת תוותר על טענתה לזכות ייחודית בחניה מס' 17, שגוברת על זכותם של בעלי החניות המוצמדות.</w:t>
      </w:r>
    </w:p>
    <w:p w14:paraId="0CC3B454" w14:textId="59D5689A" w:rsidR="009539F2" w:rsidRPr="007847A3"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t xml:space="preserve">והדברים ברורים. לאורך כל ההליך טענתה העובדתית של הנתבעת הייתה שאביה ז"ל ובני משפחתה החנו בחניה מס' 17 דווקא, ושימוש זה הקנה זיקת הנאה מכוח שנים בחניה מס' 17 לטובת דירה 17, באופן שמקנה לבעל הזכויות בדירה 17 זכות שימוש ייחודית בחניה מס' 17, שגוברת על זכותם של בעלי </w:t>
      </w:r>
      <w:r>
        <w:rPr>
          <w:rFonts w:hint="cs"/>
          <w:rtl/>
        </w:rPr>
        <w:lastRenderedPageBreak/>
        <w:t xml:space="preserve">הדירות המוצמדות להשתמש בחניה זו. גרסתה החדשה של הנתבעת </w:t>
      </w:r>
      <w:r>
        <w:rPr>
          <w:rtl/>
        </w:rPr>
        <w:t>–</w:t>
      </w:r>
      <w:r>
        <w:rPr>
          <w:rFonts w:hint="cs"/>
          <w:rtl/>
        </w:rPr>
        <w:t xml:space="preserve"> לפיה אביה ז"ל ובני משפחתה עשו שימוש בכלל החניות המשותפות על בסיס מקום פנוי, באופן שמקנה זיקת הנאה בחניות המשותפות לטובת דירה 17, באופן שמקנה לה זכות להשתמש גם היא </w:t>
      </w:r>
      <w:r w:rsidR="00830A76">
        <w:rPr>
          <w:rFonts w:hint="cs"/>
          <w:rtl/>
        </w:rPr>
        <w:t>בכלל החניות</w:t>
      </w:r>
      <w:r>
        <w:rPr>
          <w:rFonts w:hint="cs"/>
          <w:rtl/>
        </w:rPr>
        <w:t xml:space="preserve"> המשותפות על בסיס מקום פנוי </w:t>
      </w:r>
      <w:r w:rsidR="00830A76">
        <w:rPr>
          <w:rFonts w:hint="cs"/>
          <w:rtl/>
        </w:rPr>
        <w:t xml:space="preserve">בלבד </w:t>
      </w:r>
      <w:r>
        <w:rPr>
          <w:rtl/>
        </w:rPr>
        <w:t>–</w:t>
      </w:r>
      <w:r>
        <w:rPr>
          <w:rFonts w:hint="cs"/>
          <w:rtl/>
        </w:rPr>
        <w:t xml:space="preserve"> היא שינוי חזית, אשר סותר באופן ברור את טענותיה ותצהירה עד לשלב הסיכומים.</w:t>
      </w:r>
    </w:p>
    <w:p w14:paraId="4AE9B5DC" w14:textId="77777777" w:rsidR="009539F2" w:rsidRPr="007847A3"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t xml:space="preserve">כידוע, </w:t>
      </w:r>
      <w:r w:rsidRPr="008D779F">
        <w:rPr>
          <w:rtl/>
        </w:rPr>
        <w:t xml:space="preserve">"רשימת </w:t>
      </w:r>
      <w:proofErr w:type="spellStart"/>
      <w:r w:rsidRPr="008D779F">
        <w:rPr>
          <w:rtl/>
        </w:rPr>
        <w:t>הפלוגתאות</w:t>
      </w:r>
      <w:proofErr w:type="spellEnd"/>
      <w:r w:rsidRPr="008D779F">
        <w:rPr>
          <w:rtl/>
        </w:rPr>
        <w:t xml:space="preserve"> העומדת לדיון מעוצבת בכתבי הטענות שמגישים הצדדים. משכך, טענה שמעלה בעל דין שלא הועלתה מלכתחילה בכתבי טענותיו מהווה "שינוי חזית" או "הרחבת חזית", ויש לדחותה</w:t>
      </w:r>
      <w:r>
        <w:rPr>
          <w:rFonts w:hint="cs"/>
          <w:rtl/>
        </w:rPr>
        <w:t xml:space="preserve">" (ראו: </w:t>
      </w:r>
      <w:r w:rsidRPr="008D779F">
        <w:rPr>
          <w:rtl/>
        </w:rPr>
        <w:t>רע"א 9123/05 </w:t>
      </w:r>
      <w:proofErr w:type="spellStart"/>
      <w:r w:rsidRPr="008D779F">
        <w:rPr>
          <w:b/>
          <w:bCs/>
          <w:rtl/>
        </w:rPr>
        <w:t>אדמוב</w:t>
      </w:r>
      <w:proofErr w:type="spellEnd"/>
      <w:r w:rsidRPr="008D779F">
        <w:rPr>
          <w:b/>
          <w:bCs/>
          <w:rtl/>
        </w:rPr>
        <w:t xml:space="preserve"> </w:t>
      </w:r>
      <w:proofErr w:type="spellStart"/>
      <w:r w:rsidRPr="008D779F">
        <w:rPr>
          <w:b/>
          <w:bCs/>
          <w:rtl/>
        </w:rPr>
        <w:t>פרוייקטים</w:t>
      </w:r>
      <w:proofErr w:type="spellEnd"/>
      <w:r w:rsidRPr="008D779F">
        <w:rPr>
          <w:b/>
          <w:bCs/>
          <w:rtl/>
        </w:rPr>
        <w:t xml:space="preserve"> (89) בע"מ נ' סיטי סטייט מקבוצת אלפו בע"מ</w:t>
      </w:r>
      <w:r>
        <w:rPr>
          <w:rFonts w:hint="cs"/>
          <w:rtl/>
        </w:rPr>
        <w:t xml:space="preserve">, פס' 12 לפסק דינה של כב' השופטת </w:t>
      </w:r>
      <w:r>
        <w:rPr>
          <w:rFonts w:hint="cs"/>
          <w:b/>
          <w:bCs/>
          <w:rtl/>
        </w:rPr>
        <w:t>ע' ארבל</w:t>
      </w:r>
      <w:r w:rsidRPr="008D779F">
        <w:rPr>
          <w:rtl/>
        </w:rPr>
        <w:t> (25.10.2007)</w:t>
      </w:r>
      <w:r>
        <w:rPr>
          <w:rFonts w:hint="cs"/>
          <w:rtl/>
        </w:rPr>
        <w:t xml:space="preserve">). כן נקבע כי </w:t>
      </w:r>
      <w:r w:rsidRPr="007847A3">
        <w:rPr>
          <w:rtl/>
        </w:rPr>
        <w:t>"הכלל של שינוי חזית מופנה בעיקר כלפי טענות עובדתיות, אך גם כלפי טענות משפטיות שיש בהן שינוי מהותי של חזית הטיעו</w:t>
      </w:r>
      <w:r>
        <w:rPr>
          <w:rFonts w:hint="cs"/>
          <w:rtl/>
        </w:rPr>
        <w:t xml:space="preserve">ן" (ראו: </w:t>
      </w:r>
      <w:r w:rsidRPr="007847A3">
        <w:rPr>
          <w:rtl/>
        </w:rPr>
        <w:t>ע"א 9803/01 </w:t>
      </w:r>
      <w:r w:rsidRPr="007847A3">
        <w:rPr>
          <w:b/>
          <w:bCs/>
          <w:rtl/>
        </w:rPr>
        <w:t>תחנת שירות ר"ג בע"מ נ' סונול ישראל בע"</w:t>
      </w:r>
      <w:r>
        <w:rPr>
          <w:rFonts w:hint="cs"/>
          <w:b/>
          <w:bCs/>
          <w:rtl/>
        </w:rPr>
        <w:t>מ</w:t>
      </w:r>
      <w:r>
        <w:rPr>
          <w:rFonts w:hint="cs"/>
          <w:rtl/>
        </w:rPr>
        <w:t>, פ"ד</w:t>
      </w:r>
      <w:r w:rsidRPr="007847A3">
        <w:t xml:space="preserve"> </w:t>
      </w:r>
      <w:r w:rsidRPr="007847A3">
        <w:rPr>
          <w:rtl/>
        </w:rPr>
        <w:t>נח(3) 105</w:t>
      </w:r>
      <w:r>
        <w:rPr>
          <w:rFonts w:hint="cs"/>
          <w:rtl/>
        </w:rPr>
        <w:t>, 118</w:t>
      </w:r>
      <w:r w:rsidRPr="007847A3">
        <w:rPr>
          <w:rtl/>
        </w:rPr>
        <w:t xml:space="preserve"> (2004)</w:t>
      </w:r>
      <w:r>
        <w:rPr>
          <w:rFonts w:hint="cs"/>
          <w:rtl/>
        </w:rPr>
        <w:t>).</w:t>
      </w:r>
    </w:p>
    <w:p w14:paraId="02F28D5F" w14:textId="77777777" w:rsidR="009539F2" w:rsidRPr="008D779F"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t xml:space="preserve">אמנם ניתן לאפשר שינוי חזית כאשר הצד שכנגד נתן לכך את הסכמתו במפורש או מכללא, אולם לא ראיתי בהתנהלות התובעת כנותנת הסכמה מכללא לשינוי החזית. </w:t>
      </w:r>
    </w:p>
    <w:p w14:paraId="2E261DD3" w14:textId="77777777" w:rsidR="009539F2"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t xml:space="preserve">בעניין זה אציין, כי אכן נראה שהתובעת לא ראתה חשיבות רבה לשאלה האם טענת הנתבעת היא לשימוש ספציפי בחניה מס' 17 או לשימוש על בסיס מקום פנוי בכלל החניות המשותפות, שכן עמדתה היא שבין כך ובין כך אין להכיר בשימוש שנעשה כמקנה זיקת הנאה, אולם אין בכך כדי לומר שהנתבעת הסכימה מכללא לשינוי החזית. מעבר לכך, לתובעת לא הייתה הזדמנות אמיתית להסכים לשינוי החזית, שעה שזה נעשה רק במסגרת סיכומי הנתבעת. </w:t>
      </w:r>
    </w:p>
    <w:p w14:paraId="0752F6DC" w14:textId="77777777" w:rsidR="009539F2" w:rsidRPr="00DF5AA7"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t>כללם של דברים. בשים לב ל</w:t>
      </w:r>
      <w:r>
        <w:rPr>
          <w:rtl/>
        </w:rPr>
        <w:t>פער הברור בין גרסתה העובדתית של הנתבעת בכתבי הטענות ובתצהירה לבין הגרסה החדשה שהוצגה לראשונה בסיכומיה, ו</w:t>
      </w:r>
      <w:r>
        <w:rPr>
          <w:rFonts w:hint="cs"/>
          <w:rtl/>
        </w:rPr>
        <w:t>ב</w:t>
      </w:r>
      <w:r>
        <w:rPr>
          <w:rtl/>
        </w:rPr>
        <w:t>היעדר הסכמה דיונית של התובעת לשינוי החזית</w:t>
      </w:r>
      <w:r>
        <w:rPr>
          <w:rFonts w:hint="cs"/>
          <w:rtl/>
        </w:rPr>
        <w:t>, אני דוחה את גרסתה החדשה של הנתבעת.</w:t>
      </w:r>
    </w:p>
    <w:p w14:paraId="7A1E98CD" w14:textId="77777777" w:rsidR="00830A76" w:rsidRPr="00830A76"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t xml:space="preserve">נותר אפוא להכריע בדבר טענתה המקורית של הנתבעת, לפיה השימוש ארוך השנים בחניה מס' 17 הקנה זיקת הנאה בחניה זו לטובת דירה 17. כאמור לעיל, לא ניתן לקנות זיקת הנאה כאשר זיקת ההנאה המבוקשת כוללת זכות חזקה במקרקעין, כפי שנעשה בענייננו. </w:t>
      </w:r>
    </w:p>
    <w:p w14:paraId="14D4F9D1" w14:textId="6B1AB1A9" w:rsidR="009539F2" w:rsidRPr="00DF5AA7" w:rsidRDefault="009539F2" w:rsidP="009539F2">
      <w:pPr>
        <w:pStyle w:val="ac"/>
        <w:numPr>
          <w:ilvl w:val="0"/>
          <w:numId w:val="16"/>
        </w:numPr>
        <w:spacing w:before="100" w:beforeAutospacing="1" w:after="240" w:line="360" w:lineRule="auto"/>
        <w:contextualSpacing w:val="0"/>
        <w:jc w:val="both"/>
        <w:rPr>
          <w:b/>
          <w:bCs/>
          <w:u w:val="single"/>
        </w:rPr>
      </w:pPr>
      <w:r w:rsidRPr="00DF5AA7">
        <w:rPr>
          <w:rFonts w:hint="cs"/>
          <w:b/>
          <w:bCs/>
          <w:rtl/>
        </w:rPr>
        <w:t xml:space="preserve">בהינתן האמור, טענתה של </w:t>
      </w:r>
      <w:r>
        <w:rPr>
          <w:rFonts w:hint="cs"/>
          <w:b/>
          <w:bCs/>
          <w:rtl/>
        </w:rPr>
        <w:t xml:space="preserve">הנתבעת </w:t>
      </w:r>
      <w:r w:rsidRPr="00DF5AA7">
        <w:rPr>
          <w:rFonts w:hint="cs"/>
          <w:b/>
          <w:bCs/>
          <w:rtl/>
        </w:rPr>
        <w:t xml:space="preserve">לזיקת הנאה מכוח שנים </w:t>
      </w:r>
      <w:r>
        <w:rPr>
          <w:rFonts w:hint="cs"/>
          <w:b/>
          <w:bCs/>
          <w:rtl/>
        </w:rPr>
        <w:t xml:space="preserve">בחניה מס' 17 </w:t>
      </w:r>
      <w:r w:rsidRPr="00DF5AA7">
        <w:rPr>
          <w:rFonts w:hint="cs"/>
          <w:b/>
          <w:bCs/>
          <w:rtl/>
        </w:rPr>
        <w:t>נדחית</w:t>
      </w:r>
      <w:r>
        <w:rPr>
          <w:rFonts w:hint="cs"/>
          <w:b/>
          <w:bCs/>
          <w:rtl/>
        </w:rPr>
        <w:t>,</w:t>
      </w:r>
      <w:r w:rsidRPr="00DF5AA7">
        <w:rPr>
          <w:rFonts w:hint="cs"/>
          <w:b/>
          <w:bCs/>
          <w:rtl/>
        </w:rPr>
        <w:t xml:space="preserve"> וממילא מתקבלת התביעה לסילוק יד, שכן </w:t>
      </w:r>
      <w:r>
        <w:rPr>
          <w:rFonts w:hint="cs"/>
          <w:b/>
          <w:bCs/>
          <w:rtl/>
        </w:rPr>
        <w:t xml:space="preserve">לנתבעת </w:t>
      </w:r>
      <w:r w:rsidRPr="00DF5AA7">
        <w:rPr>
          <w:rFonts w:hint="cs"/>
          <w:b/>
          <w:bCs/>
          <w:rtl/>
        </w:rPr>
        <w:t>אין כל זכות לעשות שימוש בחניה מס' 17</w:t>
      </w:r>
      <w:r w:rsidRPr="00F02067">
        <w:rPr>
          <w:rFonts w:hint="cs"/>
          <w:b/>
          <w:bCs/>
          <w:rtl/>
        </w:rPr>
        <w:t>, בניגוד להוראות התקנון המוסכם</w:t>
      </w:r>
      <w:r>
        <w:rPr>
          <w:rFonts w:hint="cs"/>
          <w:rtl/>
        </w:rPr>
        <w:t xml:space="preserve">. </w:t>
      </w:r>
    </w:p>
    <w:p w14:paraId="49807AA0" w14:textId="77777777" w:rsidR="009539F2" w:rsidRPr="00DF5AA7" w:rsidRDefault="009539F2" w:rsidP="009539F2">
      <w:pPr>
        <w:spacing w:before="100" w:beforeAutospacing="1" w:after="240" w:line="360" w:lineRule="auto"/>
        <w:contextualSpacing w:val="0"/>
        <w:jc w:val="both"/>
        <w:rPr>
          <w:b/>
          <w:bCs/>
          <w:u w:val="single"/>
        </w:rPr>
      </w:pPr>
      <w:r>
        <w:rPr>
          <w:rFonts w:hint="cs"/>
          <w:b/>
          <w:bCs/>
          <w:u w:val="single"/>
          <w:rtl/>
        </w:rPr>
        <w:t xml:space="preserve">למעלה מהנדרש </w:t>
      </w:r>
      <w:r>
        <w:rPr>
          <w:b/>
          <w:bCs/>
          <w:u w:val="single"/>
          <w:rtl/>
        </w:rPr>
        <w:t>–</w:t>
      </w:r>
      <w:r>
        <w:rPr>
          <w:rFonts w:hint="cs"/>
          <w:b/>
          <w:bCs/>
          <w:u w:val="single"/>
          <w:rtl/>
        </w:rPr>
        <w:t xml:space="preserve"> טענתה העובדתית החדשה של הנתבעת לא הוכחה, וגם אם הייתה מוכחת אין בשימוש זה כדי להקנות זיקת הנאה, באשר גם הוא מהווה בנסיבות העניין חזקה במקרקעין</w:t>
      </w:r>
    </w:p>
    <w:p w14:paraId="60ED32B3" w14:textId="7FB6D29B" w:rsidR="009539F2" w:rsidRPr="00DF5AA7"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lastRenderedPageBreak/>
        <w:t xml:space="preserve">למעלה מהנדרש, יש לדחות את </w:t>
      </w:r>
      <w:r w:rsidR="00830A76">
        <w:rPr>
          <w:rFonts w:hint="cs"/>
          <w:rtl/>
        </w:rPr>
        <w:t>טענתה החדשה של הנתבעת גם לגופה</w:t>
      </w:r>
      <w:r>
        <w:rPr>
          <w:rFonts w:hint="cs"/>
          <w:rtl/>
        </w:rPr>
        <w:t xml:space="preserve">, וזאת משני טעמים: (1) לא עלה בידי הנתבעת להוכיח שאביה ז"ל ובני משפחתה עשו שימוש רצוף על בסיס מקום פנוי בחניות המשותפות; וכן (2) בנסיבות העניין, יש לראות בשימוש בחניות המשותפות על בסיס מקום פנוי כזכות להחזיק במקרקעין, וממילא שימוש זה אינו יכול להקנות זיקת הנאה. </w:t>
      </w:r>
    </w:p>
    <w:p w14:paraId="06BEF06C" w14:textId="77777777" w:rsidR="009539F2" w:rsidRPr="00DF5AA7"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t xml:space="preserve">אפרט את הדברים. </w:t>
      </w:r>
    </w:p>
    <w:p w14:paraId="661A0838" w14:textId="77777777" w:rsidR="009539F2" w:rsidRPr="007F1C0A"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t xml:space="preserve">השאלה היכן חנתה משפחתה של הנתבעת במהלך השנים היא שאלה עובדתית. מכיוון שטענה זו הועלתה על ידי הנתבעת, נטל ההוכחה בעניין זה מוטל עליה. הראיות שצירפה הנתבעת מוכיחות בצורה ברורה, </w:t>
      </w:r>
      <w:r w:rsidRPr="00DF5AA7">
        <w:rPr>
          <w:rFonts w:hint="cs"/>
          <w:b/>
          <w:bCs/>
          <w:rtl/>
        </w:rPr>
        <w:t xml:space="preserve">שמשפחתה של </w:t>
      </w:r>
      <w:r>
        <w:rPr>
          <w:rFonts w:hint="cs"/>
          <w:b/>
          <w:bCs/>
          <w:rtl/>
        </w:rPr>
        <w:t xml:space="preserve">הנתבעת </w:t>
      </w:r>
      <w:r w:rsidRPr="00DF5AA7">
        <w:rPr>
          <w:rFonts w:hint="cs"/>
          <w:b/>
          <w:bCs/>
          <w:rtl/>
        </w:rPr>
        <w:t>חנתה במשך כל השנים בחניה מס' 17</w:t>
      </w:r>
      <w:r>
        <w:rPr>
          <w:rFonts w:hint="cs"/>
          <w:b/>
          <w:bCs/>
          <w:rtl/>
        </w:rPr>
        <w:t xml:space="preserve"> דווקא</w:t>
      </w:r>
      <w:r w:rsidRPr="00DF5AA7">
        <w:rPr>
          <w:rFonts w:hint="cs"/>
          <w:b/>
          <w:bCs/>
          <w:rtl/>
        </w:rPr>
        <w:t xml:space="preserve">, ולא באופן מזדמן </w:t>
      </w:r>
      <w:r>
        <w:rPr>
          <w:rFonts w:hint="cs"/>
          <w:b/>
          <w:bCs/>
          <w:rtl/>
        </w:rPr>
        <w:t xml:space="preserve">בכלל החניות המשותפות </w:t>
      </w:r>
      <w:r w:rsidRPr="00DF5AA7">
        <w:rPr>
          <w:rFonts w:hint="cs"/>
          <w:b/>
          <w:bCs/>
          <w:rtl/>
        </w:rPr>
        <w:t>על בסיס מקום פנוי</w:t>
      </w:r>
      <w:r>
        <w:rPr>
          <w:rFonts w:hint="cs"/>
          <w:rtl/>
        </w:rPr>
        <w:t xml:space="preserve">. כאמור, דבר זה הוצהר באופן ברור ומפורש על ידי הנתבעת בתצהירה. כמו כן, לא צורפה כל ראיה שתומכת במישרין בטענה העובדתית לפיה אביה ז"ל של הנתבעת ובני משפחתה החנו בחניות המשותפות באופן מזדמן על בסיס מקום פנוי, וממילא דין טענה עובדתית זו להידחות. </w:t>
      </w:r>
    </w:p>
    <w:p w14:paraId="0FBA33E6" w14:textId="77777777" w:rsidR="009539F2" w:rsidRPr="00B82C7B"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t>נדמה שהנתבעת הייתה מודעת לכך שטענתה החדשה לא הוכחה, וביקשה להוכיחה למרות זאת משני מקורות: (1)</w:t>
      </w:r>
      <w:r>
        <w:rPr>
          <w:rFonts w:hint="cs"/>
        </w:rPr>
        <w:t xml:space="preserve"> </w:t>
      </w:r>
      <w:r>
        <w:rPr>
          <w:rFonts w:hint="cs"/>
          <w:rtl/>
        </w:rPr>
        <w:t xml:space="preserve">תמונה שצורפה לתצהיר הנתבעת, בה רואים לכאורה את מכוניתו של אביה ז"ל חונה בחניה שאינה חניה מס' 17; וכן (2) נטען שיש לזקוף לחובת התובעת את העובדה שלא חקרה את הנתבעת על המיקום בו החנה אביה את רכבו במהלך השנים. </w:t>
      </w:r>
    </w:p>
    <w:p w14:paraId="7565B314" w14:textId="77777777" w:rsidR="009539F2" w:rsidRPr="007F1C0A"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t xml:space="preserve">בשתי הטענות האמורות אין ממש. </w:t>
      </w:r>
    </w:p>
    <w:p w14:paraId="5993ECC4" w14:textId="7FD7AF5B" w:rsidR="009539F2" w:rsidRPr="00222E1D"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t xml:space="preserve">בכל הנוגע לתמונה. ראשית, בתצהירה של הנתבעת התמונה האמורה </w:t>
      </w:r>
      <w:r w:rsidR="00830A76">
        <w:rPr>
          <w:rFonts w:hint="cs"/>
          <w:rtl/>
        </w:rPr>
        <w:t xml:space="preserve">אינה </w:t>
      </w:r>
      <w:r>
        <w:rPr>
          <w:rFonts w:hint="cs"/>
          <w:rtl/>
        </w:rPr>
        <w:t xml:space="preserve">מוצגת כראיה לכך שאביה ז"ל </w:t>
      </w:r>
      <w:r w:rsidR="00830A76">
        <w:rPr>
          <w:rFonts w:hint="cs"/>
          <w:rtl/>
        </w:rPr>
        <w:t xml:space="preserve">לא </w:t>
      </w:r>
      <w:r>
        <w:rPr>
          <w:rFonts w:hint="cs"/>
          <w:rtl/>
        </w:rPr>
        <w:t xml:space="preserve">החנה בחניה מס' 17, אלא כראיה לכך שלא היה שער לחניון של הבית המשותף. מעבר לכך, בהינתן שהצדדים כלל לא חלקו על מיקום החניה ואופן החניה של מר </w:t>
      </w:r>
      <w:proofErr w:type="spellStart"/>
      <w:r>
        <w:rPr>
          <w:rFonts w:hint="cs"/>
          <w:rtl/>
        </w:rPr>
        <w:t>בורודיצקי</w:t>
      </w:r>
      <w:proofErr w:type="spellEnd"/>
      <w:r w:rsidR="004667ED">
        <w:rPr>
          <w:rFonts w:hint="cs"/>
          <w:rtl/>
        </w:rPr>
        <w:t xml:space="preserve"> ז"ל</w:t>
      </w:r>
      <w:r>
        <w:rPr>
          <w:rFonts w:hint="cs"/>
          <w:rtl/>
        </w:rPr>
        <w:t xml:space="preserve">, אין כל התייחסות בתצהירים למיקום חניה מס' 17, ומכיוון שכך אין לי אפשרות להתייחס לטענת הנתבעת בסיכומיה, לפיה ניתן לראות מהתמונה שמר </w:t>
      </w:r>
      <w:proofErr w:type="spellStart"/>
      <w:r>
        <w:rPr>
          <w:rFonts w:hint="cs"/>
          <w:rtl/>
        </w:rPr>
        <w:t>בורודיצקי</w:t>
      </w:r>
      <w:proofErr w:type="spellEnd"/>
      <w:r>
        <w:rPr>
          <w:rFonts w:hint="cs"/>
          <w:rtl/>
        </w:rPr>
        <w:t xml:space="preserve"> ז"ל לא החנה את רכבו בחניה מס' 17. </w:t>
      </w:r>
    </w:p>
    <w:p w14:paraId="1AEF07A0" w14:textId="106F3823" w:rsidR="009539F2" w:rsidRPr="00B82C7B"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t xml:space="preserve">לא זאת אף זאת. גם לו הייתי מקבל את הטענה העובדתית, שנטענה לראשונה בסיכומים, שניתן לראות בתמונה שמכוניתו של מר </w:t>
      </w:r>
      <w:proofErr w:type="spellStart"/>
      <w:r>
        <w:rPr>
          <w:rFonts w:hint="cs"/>
          <w:rtl/>
        </w:rPr>
        <w:t>בורודיצקי</w:t>
      </w:r>
      <w:proofErr w:type="spellEnd"/>
      <w:r>
        <w:rPr>
          <w:rFonts w:hint="cs"/>
          <w:rtl/>
        </w:rPr>
        <w:t xml:space="preserve"> ז"ל חונה בחניה </w:t>
      </w:r>
      <w:r w:rsidR="00830A76">
        <w:rPr>
          <w:rFonts w:hint="cs"/>
          <w:rtl/>
        </w:rPr>
        <w:t xml:space="preserve">שאינה חניה </w:t>
      </w:r>
      <w:r>
        <w:rPr>
          <w:rFonts w:hint="cs"/>
          <w:rtl/>
        </w:rPr>
        <w:t xml:space="preserve">מס' 17, הרי שבהינתן </w:t>
      </w:r>
      <w:r w:rsidR="00830A76">
        <w:rPr>
          <w:rFonts w:hint="cs"/>
          <w:rtl/>
        </w:rPr>
        <w:t xml:space="preserve">הצהרתה המפורשת </w:t>
      </w:r>
      <w:r>
        <w:rPr>
          <w:rFonts w:hint="cs"/>
          <w:rtl/>
        </w:rPr>
        <w:t>של הנתבעת</w:t>
      </w:r>
      <w:r w:rsidR="00830A76">
        <w:rPr>
          <w:rFonts w:hint="cs"/>
          <w:rtl/>
        </w:rPr>
        <w:t xml:space="preserve"> בתצהירה</w:t>
      </w:r>
      <w:r>
        <w:rPr>
          <w:rFonts w:hint="cs"/>
          <w:rtl/>
        </w:rPr>
        <w:t>, לפי</w:t>
      </w:r>
      <w:r w:rsidR="00830A76">
        <w:rPr>
          <w:rFonts w:hint="cs"/>
          <w:rtl/>
        </w:rPr>
        <w:t>ה</w:t>
      </w:r>
      <w:r>
        <w:rPr>
          <w:rFonts w:hint="cs"/>
          <w:rtl/>
        </w:rPr>
        <w:t xml:space="preserve"> אביה ז"ל החנה בחניה מס' 17 דווקא, הרי שלכל היותר יש לראות בתמונה זו כראיה לכך שמעת לעת מר </w:t>
      </w:r>
      <w:proofErr w:type="spellStart"/>
      <w:r>
        <w:rPr>
          <w:rFonts w:hint="cs"/>
          <w:rtl/>
        </w:rPr>
        <w:t>בורודיצקי</w:t>
      </w:r>
      <w:proofErr w:type="spellEnd"/>
      <w:r>
        <w:rPr>
          <w:rFonts w:hint="cs"/>
          <w:rtl/>
        </w:rPr>
        <w:t xml:space="preserve"> ז"ל היה מחנה גם בחניות אחרות, אבל לא כראיה לכך שבמהלך השנים הוא לא החנה באופן ייחודי בחניה מס' 17. בכל מקרה, אין בתמונה זו כדי לסתור את הצהרתה המפורשת של הנתבעת לפיה מר </w:t>
      </w:r>
      <w:proofErr w:type="spellStart"/>
      <w:r>
        <w:rPr>
          <w:rFonts w:hint="cs"/>
          <w:rtl/>
        </w:rPr>
        <w:t>בורודיצקי</w:t>
      </w:r>
      <w:proofErr w:type="spellEnd"/>
      <w:r>
        <w:rPr>
          <w:rFonts w:hint="cs"/>
          <w:rtl/>
        </w:rPr>
        <w:t xml:space="preserve"> ז"ל היה מחנה בחניה מס' 17 דווקא.</w:t>
      </w:r>
    </w:p>
    <w:p w14:paraId="5F045898" w14:textId="77777777" w:rsidR="009539F2" w:rsidRPr="004161F0"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lastRenderedPageBreak/>
        <w:t xml:space="preserve">בכל הנוגע לחקירה הנגדית. כאמור, עד לשלב הסיכומים טענתה העקבית של הנתבעת הייתה שאביה ז"ל ובני משפחתה עשו שימוש בחניה מס' 17 דווקא, וכי יש לה זכות בחניה זו בלבד. מכיוון שלא הייתה מחלוקת בנושא, אין לזקוף לחובת התובעת את העובדה שהנתבעת לא נשאלה אודות נושא שאינו שנוי במחלוקת. </w:t>
      </w:r>
    </w:p>
    <w:p w14:paraId="44C7A665" w14:textId="77777777" w:rsidR="009539F2" w:rsidRPr="008D779F"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t xml:space="preserve">כללם של דברים: </w:t>
      </w:r>
      <w:r w:rsidRPr="004161F0">
        <w:rPr>
          <w:rFonts w:hint="cs"/>
          <w:b/>
          <w:bCs/>
          <w:rtl/>
        </w:rPr>
        <w:t xml:space="preserve">לא עלה בידי </w:t>
      </w:r>
      <w:r>
        <w:rPr>
          <w:rFonts w:hint="cs"/>
          <w:b/>
          <w:bCs/>
          <w:rtl/>
        </w:rPr>
        <w:t xml:space="preserve">הנתבעת </w:t>
      </w:r>
      <w:r w:rsidRPr="004161F0">
        <w:rPr>
          <w:rFonts w:hint="cs"/>
          <w:b/>
          <w:bCs/>
          <w:rtl/>
        </w:rPr>
        <w:t xml:space="preserve">להוכיח </w:t>
      </w:r>
      <w:r>
        <w:rPr>
          <w:rFonts w:hint="cs"/>
          <w:b/>
          <w:bCs/>
          <w:rtl/>
        </w:rPr>
        <w:t xml:space="preserve">את טענתה העובדתית לפיה </w:t>
      </w:r>
      <w:r w:rsidRPr="004161F0">
        <w:rPr>
          <w:rFonts w:hint="cs"/>
          <w:b/>
          <w:bCs/>
          <w:rtl/>
        </w:rPr>
        <w:t>אביה ז"ל ובני משפחתה עשו שימוש מזדמן בכלל החניות המשותפות על בסיס מקום פנוי, כפי שנטען בסיכומיה</w:t>
      </w:r>
      <w:r>
        <w:rPr>
          <w:rFonts w:hint="cs"/>
          <w:rtl/>
        </w:rPr>
        <w:t xml:space="preserve">. </w:t>
      </w:r>
    </w:p>
    <w:p w14:paraId="3A474F1A" w14:textId="77777777" w:rsidR="009539F2" w:rsidRPr="00222E1D"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t xml:space="preserve">יתרה מזו. גם לו יתואר שהיה עולה בידי הנתבעת להוכיח שאביה ז"ל ובני משפחתה החנו את רכביהם בכלל החניות המשותפות על בסיס מקום פנוי, לא היה בכך כדי להקנות זיקת הנאה בחניות המשותפות לטובת דירה 17. </w:t>
      </w:r>
    </w:p>
    <w:p w14:paraId="5CB26D30" w14:textId="32B92D8C" w:rsidR="009539F2" w:rsidRPr="004161F0"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t xml:space="preserve">כאמור בפסק הדין בעניין </w:t>
      </w:r>
      <w:proofErr w:type="spellStart"/>
      <w:r w:rsidRPr="004161F0">
        <w:rPr>
          <w:rFonts w:hint="cs"/>
          <w:b/>
          <w:bCs/>
          <w:rtl/>
        </w:rPr>
        <w:t>סובח</w:t>
      </w:r>
      <w:proofErr w:type="spellEnd"/>
      <w:r>
        <w:rPr>
          <w:rFonts w:hint="cs"/>
          <w:rtl/>
        </w:rPr>
        <w:t>, שימוש קבוע בחניה לא מסוימת בחניון, באופן שמצר את זכות השימוש של בעלי הזכויות בחניון, מהווה חזקה במקרקעין</w:t>
      </w:r>
      <w:r w:rsidR="00830A76">
        <w:rPr>
          <w:rFonts w:hint="cs"/>
          <w:rtl/>
        </w:rPr>
        <w:t>, לעניין סעיף 5 לחוק המקרקעין</w:t>
      </w:r>
      <w:r>
        <w:rPr>
          <w:rFonts w:hint="cs"/>
          <w:rtl/>
        </w:rPr>
        <w:t xml:space="preserve">. בענייננו, וכזכור, מספר החניות המשותפות מצומצם ממספר הדירות המוצמדות, כך שכל גריעה של חניה </w:t>
      </w:r>
      <w:r w:rsidR="00830A76">
        <w:rPr>
          <w:rFonts w:hint="cs"/>
          <w:rtl/>
        </w:rPr>
        <w:t xml:space="preserve">תביא בהכרח </w:t>
      </w:r>
      <w:r>
        <w:rPr>
          <w:rFonts w:hint="cs"/>
          <w:rtl/>
        </w:rPr>
        <w:t xml:space="preserve">לפגיעה משמעותית וממשית בזכותם של בעלי הדירות המוצמדות. בנסיבות אלה יש לראות גם בשימוש מזדמן בחניות המשותפות על בסיס מקום פנוי, כשימוש שיש עמו זכות להחזיק במקרקעין, כפי שנקבע בעניין </w:t>
      </w:r>
      <w:proofErr w:type="spellStart"/>
      <w:r>
        <w:rPr>
          <w:rFonts w:hint="cs"/>
          <w:b/>
          <w:bCs/>
          <w:rtl/>
        </w:rPr>
        <w:t>סובח</w:t>
      </w:r>
      <w:proofErr w:type="spellEnd"/>
      <w:r>
        <w:rPr>
          <w:rFonts w:hint="cs"/>
          <w:rtl/>
        </w:rPr>
        <w:t>,</w:t>
      </w:r>
      <w:r>
        <w:rPr>
          <w:rFonts w:hint="cs"/>
          <w:b/>
          <w:bCs/>
          <w:rtl/>
        </w:rPr>
        <w:t xml:space="preserve"> </w:t>
      </w:r>
      <w:r>
        <w:rPr>
          <w:rFonts w:hint="cs"/>
          <w:rtl/>
        </w:rPr>
        <w:t xml:space="preserve">וממילא כשימוש שאינו ראוי להוות זיקת הנאה, כאמור בסעיף 94 לחוק המקרקעין. </w:t>
      </w:r>
    </w:p>
    <w:p w14:paraId="4413B4FC" w14:textId="7C4FBB2F" w:rsidR="009539F2" w:rsidRPr="000D2A07" w:rsidRDefault="009539F2" w:rsidP="009539F2">
      <w:pPr>
        <w:pStyle w:val="ac"/>
        <w:numPr>
          <w:ilvl w:val="0"/>
          <w:numId w:val="16"/>
        </w:numPr>
        <w:spacing w:before="100" w:beforeAutospacing="1" w:after="240" w:line="360" w:lineRule="auto"/>
        <w:contextualSpacing w:val="0"/>
        <w:jc w:val="both"/>
        <w:rPr>
          <w:b/>
          <w:bCs/>
          <w:u w:val="single"/>
        </w:rPr>
      </w:pPr>
      <w:r>
        <w:rPr>
          <w:rFonts w:hint="cs"/>
          <w:rtl/>
        </w:rPr>
        <w:t xml:space="preserve">כללם של דברים: </w:t>
      </w:r>
      <w:r w:rsidRPr="00830A76">
        <w:rPr>
          <w:rFonts w:hint="cs"/>
          <w:b/>
          <w:bCs/>
          <w:rtl/>
        </w:rPr>
        <w:t xml:space="preserve">טענתה </w:t>
      </w:r>
      <w:r w:rsidR="00830A76">
        <w:rPr>
          <w:rFonts w:hint="cs"/>
          <w:b/>
          <w:bCs/>
          <w:rtl/>
        </w:rPr>
        <w:t xml:space="preserve">החדשה </w:t>
      </w:r>
      <w:r w:rsidRPr="00830A76">
        <w:rPr>
          <w:rFonts w:hint="cs"/>
          <w:b/>
          <w:bCs/>
          <w:rtl/>
        </w:rPr>
        <w:t>של הנתבעת</w:t>
      </w:r>
      <w:r w:rsidR="00830A76">
        <w:rPr>
          <w:rFonts w:hint="cs"/>
          <w:b/>
          <w:bCs/>
          <w:rtl/>
        </w:rPr>
        <w:t xml:space="preserve"> </w:t>
      </w:r>
      <w:r w:rsidR="00830A76">
        <w:rPr>
          <w:b/>
          <w:bCs/>
          <w:rtl/>
        </w:rPr>
        <w:t>–</w:t>
      </w:r>
      <w:r w:rsidRPr="00830A76">
        <w:rPr>
          <w:rFonts w:hint="cs"/>
          <w:b/>
          <w:bCs/>
          <w:rtl/>
        </w:rPr>
        <w:t xml:space="preserve"> לפיה אביה ז"ל ובני משפחתו עשו שימוש מזדמן בחניות המשותפות על בסיס מקום פנוי, באופן שמקנה זיקת הנאה לדירה 17</w:t>
      </w:r>
      <w:r w:rsidR="00830A76" w:rsidRPr="00830A76">
        <w:rPr>
          <w:rFonts w:hint="cs"/>
          <w:b/>
          <w:bCs/>
          <w:rtl/>
        </w:rPr>
        <w:t xml:space="preserve"> שתוכנה זכות לשימוש בחניות המשותפות על בסיס מקום פנוי</w:t>
      </w:r>
      <w:r w:rsidRPr="00830A76">
        <w:rPr>
          <w:rFonts w:hint="cs"/>
          <w:b/>
          <w:bCs/>
          <w:rtl/>
        </w:rPr>
        <w:t xml:space="preserve"> </w:t>
      </w:r>
      <w:r w:rsidR="00830A76">
        <w:rPr>
          <w:b/>
          <w:bCs/>
          <w:rtl/>
        </w:rPr>
        <w:t>–</w:t>
      </w:r>
      <w:r w:rsidR="00830A76">
        <w:rPr>
          <w:rFonts w:hint="cs"/>
          <w:b/>
          <w:bCs/>
          <w:rtl/>
        </w:rPr>
        <w:t xml:space="preserve"> </w:t>
      </w:r>
      <w:r w:rsidRPr="00830A76">
        <w:rPr>
          <w:rFonts w:hint="cs"/>
          <w:b/>
          <w:bCs/>
          <w:rtl/>
        </w:rPr>
        <w:t>נדחית גם היא</w:t>
      </w:r>
      <w:r w:rsidR="00830A76">
        <w:rPr>
          <w:rFonts w:hint="cs"/>
          <w:rtl/>
        </w:rPr>
        <w:t>. זאת,</w:t>
      </w:r>
      <w:r>
        <w:rPr>
          <w:rFonts w:hint="cs"/>
          <w:rtl/>
        </w:rPr>
        <w:t xml:space="preserve"> הן בשל כך שמדובר בשינוי חזית; הן בשל כך שהטענה העובדתית בדבר השימוש המזדמן בכלל החניות המשותפות על בסיס מקום פנוי לא הוכחה; והן בשל כך ששימוש זה אינו שימוש שראוי להוות זיקת הנאה, שכן יש עמו חזקה במקרקעין, כפי שנקבע בפסק דין </w:t>
      </w:r>
      <w:proofErr w:type="spellStart"/>
      <w:r>
        <w:rPr>
          <w:rFonts w:hint="cs"/>
          <w:b/>
          <w:bCs/>
          <w:rtl/>
        </w:rPr>
        <w:t>סובח</w:t>
      </w:r>
      <w:proofErr w:type="spellEnd"/>
      <w:r>
        <w:rPr>
          <w:rFonts w:hint="cs"/>
          <w:rtl/>
        </w:rPr>
        <w:t>.</w:t>
      </w:r>
    </w:p>
    <w:p w14:paraId="43130CA0" w14:textId="77777777" w:rsidR="009539F2" w:rsidRPr="000D2A07" w:rsidRDefault="009539F2" w:rsidP="00846C80">
      <w:pPr>
        <w:spacing w:before="100" w:beforeAutospacing="1" w:after="240" w:line="360" w:lineRule="auto"/>
        <w:contextualSpacing w:val="0"/>
        <w:jc w:val="both"/>
        <w:outlineLvl w:val="1"/>
        <w:rPr>
          <w:b/>
          <w:bCs/>
          <w:u w:val="single"/>
        </w:rPr>
      </w:pPr>
      <w:r w:rsidRPr="000D2A07">
        <w:rPr>
          <w:rFonts w:hint="cs"/>
          <w:b/>
          <w:bCs/>
          <w:u w:val="single"/>
          <w:rtl/>
        </w:rPr>
        <w:t>החלק האופרטיבי</w:t>
      </w:r>
    </w:p>
    <w:p w14:paraId="4CD8313D" w14:textId="362FE559" w:rsidR="009539F2" w:rsidRPr="003F5C45" w:rsidRDefault="009539F2" w:rsidP="009539F2">
      <w:pPr>
        <w:pStyle w:val="ac"/>
        <w:numPr>
          <w:ilvl w:val="0"/>
          <w:numId w:val="16"/>
        </w:numPr>
        <w:spacing w:before="100" w:beforeAutospacing="1" w:after="240" w:line="360" w:lineRule="auto"/>
        <w:contextualSpacing w:val="0"/>
        <w:jc w:val="both"/>
        <w:rPr>
          <w:noProof/>
        </w:rPr>
      </w:pPr>
      <w:r>
        <w:rPr>
          <w:rFonts w:hint="cs"/>
          <w:rtl/>
        </w:rPr>
        <w:t xml:space="preserve">התביעה נגד </w:t>
      </w:r>
      <w:r w:rsidRPr="003F5C45">
        <w:rPr>
          <w:rFonts w:hint="cs"/>
          <w:rtl/>
        </w:rPr>
        <w:t>הנתבע 1</w:t>
      </w:r>
      <w:r>
        <w:rPr>
          <w:rFonts w:hint="cs"/>
          <w:rtl/>
        </w:rPr>
        <w:t>, מר צוף ז"ל,</w:t>
      </w:r>
      <w:r w:rsidRPr="003F5C45">
        <w:rPr>
          <w:rFonts w:hint="cs"/>
          <w:rtl/>
        </w:rPr>
        <w:t xml:space="preserve"> </w:t>
      </w:r>
      <w:r w:rsidR="00830A76">
        <w:rPr>
          <w:rFonts w:hint="cs"/>
          <w:rtl/>
        </w:rPr>
        <w:t>נמחקת בזאת</w:t>
      </w:r>
      <w:r w:rsidRPr="003F5C45">
        <w:rPr>
          <w:rFonts w:hint="cs"/>
          <w:rtl/>
        </w:rPr>
        <w:t>. אין צו להוצאות.</w:t>
      </w:r>
    </w:p>
    <w:p w14:paraId="1CE5C635" w14:textId="48FC9B87" w:rsidR="009539F2" w:rsidRPr="000D2A07" w:rsidRDefault="009539F2" w:rsidP="00846C80">
      <w:pPr>
        <w:spacing w:before="100" w:after="240" w:line="360" w:lineRule="auto"/>
        <w:ind w:left="360"/>
        <w:contextualSpacing w:val="0"/>
        <w:jc w:val="both"/>
        <w:rPr>
          <w:noProof/>
        </w:rPr>
      </w:pPr>
      <w:r w:rsidRPr="00846C80">
        <w:rPr>
          <w:rFonts w:eastAsia="Calibri" w:hint="cs"/>
          <w:sz w:val="28"/>
          <w:rtl/>
        </w:rPr>
        <w:t xml:space="preserve">ניתן בזה צו אשר מורה לנתבעים </w:t>
      </w:r>
      <w:r w:rsidR="00830A76" w:rsidRPr="00846C80">
        <w:rPr>
          <w:rFonts w:eastAsia="Calibri" w:hint="cs"/>
          <w:sz w:val="28"/>
          <w:rtl/>
        </w:rPr>
        <w:t>5,2</w:t>
      </w:r>
      <w:r w:rsidRPr="00846C80">
        <w:rPr>
          <w:rFonts w:eastAsia="Calibri" w:hint="cs"/>
          <w:sz w:val="28"/>
          <w:rtl/>
        </w:rPr>
        <w:t xml:space="preserve"> ו-6, בהתאמה: מר </w:t>
      </w:r>
      <w:proofErr w:type="spellStart"/>
      <w:r w:rsidRPr="00846C80">
        <w:rPr>
          <w:rFonts w:eastAsia="Calibri" w:hint="cs"/>
          <w:sz w:val="28"/>
          <w:rtl/>
        </w:rPr>
        <w:t>בוטבול</w:t>
      </w:r>
      <w:proofErr w:type="spellEnd"/>
      <w:r w:rsidRPr="00846C80">
        <w:rPr>
          <w:rFonts w:eastAsia="Calibri" w:hint="cs"/>
          <w:sz w:val="28"/>
          <w:rtl/>
        </w:rPr>
        <w:t xml:space="preserve">, גב' כהן אמין ומר כהן, לסלק את ידם מהחניות המשותפות ולהימנע משימוש בהן. </w:t>
      </w:r>
    </w:p>
    <w:p w14:paraId="35F198F3" w14:textId="77777777" w:rsidR="009539F2" w:rsidRPr="000D2A07" w:rsidRDefault="009539F2" w:rsidP="009539F2">
      <w:pPr>
        <w:pStyle w:val="ac"/>
        <w:numPr>
          <w:ilvl w:val="0"/>
          <w:numId w:val="16"/>
        </w:numPr>
        <w:spacing w:before="100" w:beforeAutospacing="1" w:after="240" w:line="360" w:lineRule="auto"/>
        <w:ind w:left="340" w:hanging="340"/>
        <w:contextualSpacing w:val="0"/>
        <w:jc w:val="both"/>
        <w:rPr>
          <w:rFonts w:ascii="David" w:hAnsi="David"/>
          <w:sz w:val="24"/>
        </w:rPr>
      </w:pPr>
      <w:r>
        <w:rPr>
          <w:rFonts w:hint="cs"/>
          <w:sz w:val="24"/>
          <w:rtl/>
        </w:rPr>
        <w:t xml:space="preserve">בנוגע להוצאות ההליך: </w:t>
      </w:r>
    </w:p>
    <w:p w14:paraId="108576E0" w14:textId="77777777" w:rsidR="009539F2" w:rsidRPr="000D2A07" w:rsidRDefault="009539F2" w:rsidP="009539F2">
      <w:pPr>
        <w:pStyle w:val="ac"/>
        <w:numPr>
          <w:ilvl w:val="0"/>
          <w:numId w:val="17"/>
        </w:numPr>
        <w:spacing w:before="100" w:beforeAutospacing="1" w:after="240" w:line="360" w:lineRule="auto"/>
        <w:contextualSpacing w:val="0"/>
        <w:jc w:val="both"/>
        <w:rPr>
          <w:rFonts w:ascii="David" w:hAnsi="David"/>
          <w:sz w:val="24"/>
        </w:rPr>
      </w:pPr>
      <w:r>
        <w:rPr>
          <w:rFonts w:hint="cs"/>
          <w:sz w:val="24"/>
          <w:rtl/>
        </w:rPr>
        <w:lastRenderedPageBreak/>
        <w:t>הנתבע 6, מר כהן, לא הגיש כתב הגנה והתביעה נגדו התקבלה. במועד הגשת כתב התביעה התובעת לא הייתה מיוצגת, והתעלמותו של מר כהן מההליך לא גררה הוצאות נוספות עבור התובעת, מעבר להכללתו בכתב התביעה. בהינתן האמור, הנתבע 6 יישא בהוצאות משפט לטובת התובעת בסך של 500 ש"ח.</w:t>
      </w:r>
    </w:p>
    <w:p w14:paraId="6B2E259F" w14:textId="34A0D38E" w:rsidR="009539F2" w:rsidRDefault="009539F2" w:rsidP="009539F2">
      <w:pPr>
        <w:pStyle w:val="ac"/>
        <w:numPr>
          <w:ilvl w:val="0"/>
          <w:numId w:val="17"/>
        </w:numPr>
        <w:spacing w:before="100" w:beforeAutospacing="1" w:after="240" w:line="360" w:lineRule="auto"/>
        <w:contextualSpacing w:val="0"/>
        <w:jc w:val="both"/>
        <w:rPr>
          <w:rFonts w:ascii="David" w:hAnsi="David"/>
          <w:sz w:val="24"/>
        </w:rPr>
      </w:pPr>
      <w:r>
        <w:rPr>
          <w:rFonts w:ascii="David" w:hAnsi="David" w:hint="cs"/>
          <w:sz w:val="24"/>
          <w:rtl/>
        </w:rPr>
        <w:t xml:space="preserve">הנתבע 2, מר </w:t>
      </w:r>
      <w:proofErr w:type="spellStart"/>
      <w:r>
        <w:rPr>
          <w:rFonts w:ascii="David" w:hAnsi="David" w:hint="cs"/>
          <w:sz w:val="24"/>
          <w:rtl/>
        </w:rPr>
        <w:t>בוטבול</w:t>
      </w:r>
      <w:proofErr w:type="spellEnd"/>
      <w:r>
        <w:rPr>
          <w:rFonts w:ascii="David" w:hAnsi="David" w:hint="cs"/>
          <w:sz w:val="24"/>
          <w:rtl/>
        </w:rPr>
        <w:t xml:space="preserve">, בחר שלא להגיש סיכומים מטעמו. עם זאת, מר </w:t>
      </w:r>
      <w:proofErr w:type="spellStart"/>
      <w:r>
        <w:rPr>
          <w:rFonts w:ascii="David" w:hAnsi="David" w:hint="cs"/>
          <w:sz w:val="24"/>
          <w:rtl/>
        </w:rPr>
        <w:t>בוטבול</w:t>
      </w:r>
      <w:proofErr w:type="spellEnd"/>
      <w:r>
        <w:rPr>
          <w:rFonts w:ascii="David" w:hAnsi="David" w:hint="cs"/>
          <w:sz w:val="24"/>
          <w:rtl/>
        </w:rPr>
        <w:t xml:space="preserve"> לקח חלק בהליך, הוא התייצב לדיונים, קיבל בהם את זכות הדיבור, הגיש כתב הגנה (גם אם באיחור ניכר), ואף חקר את גב' </w:t>
      </w:r>
      <w:proofErr w:type="spellStart"/>
      <w:r>
        <w:rPr>
          <w:rFonts w:ascii="David" w:hAnsi="David" w:hint="cs"/>
          <w:sz w:val="24"/>
          <w:rtl/>
        </w:rPr>
        <w:t>קיומוב</w:t>
      </w:r>
      <w:proofErr w:type="spellEnd"/>
      <w:r>
        <w:rPr>
          <w:rFonts w:ascii="David" w:hAnsi="David" w:hint="cs"/>
          <w:sz w:val="24"/>
          <w:rtl/>
        </w:rPr>
        <w:t xml:space="preserve"> בחקירה נגדית. עיון בכתב ההגנה שהגיש מר </w:t>
      </w:r>
      <w:proofErr w:type="spellStart"/>
      <w:r>
        <w:rPr>
          <w:rFonts w:ascii="David" w:hAnsi="David" w:hint="cs"/>
          <w:sz w:val="24"/>
          <w:rtl/>
        </w:rPr>
        <w:t>בוטבול</w:t>
      </w:r>
      <w:proofErr w:type="spellEnd"/>
      <w:r>
        <w:rPr>
          <w:rFonts w:ascii="David" w:hAnsi="David" w:hint="cs"/>
          <w:sz w:val="24"/>
          <w:rtl/>
        </w:rPr>
        <w:t xml:space="preserve"> מגלה שלא הייתה בידי</w:t>
      </w:r>
      <w:r w:rsidR="00830A76">
        <w:rPr>
          <w:rFonts w:ascii="David" w:hAnsi="David" w:hint="cs"/>
          <w:sz w:val="24"/>
          <w:rtl/>
        </w:rPr>
        <w:t>ו</w:t>
      </w:r>
      <w:r>
        <w:rPr>
          <w:rFonts w:ascii="David" w:hAnsi="David" w:hint="cs"/>
          <w:sz w:val="24"/>
          <w:rtl/>
        </w:rPr>
        <w:t xml:space="preserve"> </w:t>
      </w:r>
      <w:r w:rsidR="00830A76">
        <w:rPr>
          <w:rFonts w:ascii="David" w:hAnsi="David" w:hint="cs"/>
          <w:sz w:val="24"/>
          <w:rtl/>
        </w:rPr>
        <w:t xml:space="preserve">טענת </w:t>
      </w:r>
      <w:r>
        <w:rPr>
          <w:rFonts w:ascii="David" w:hAnsi="David" w:hint="cs"/>
          <w:sz w:val="24"/>
          <w:rtl/>
        </w:rPr>
        <w:t xml:space="preserve">הגנה </w:t>
      </w:r>
      <w:r w:rsidR="00830A76">
        <w:rPr>
          <w:rFonts w:ascii="David" w:hAnsi="David" w:hint="cs"/>
          <w:sz w:val="24"/>
          <w:rtl/>
        </w:rPr>
        <w:t>תקפה</w:t>
      </w:r>
      <w:r>
        <w:rPr>
          <w:rFonts w:ascii="David" w:hAnsi="David" w:hint="cs"/>
          <w:sz w:val="24"/>
          <w:rtl/>
        </w:rPr>
        <w:t xml:space="preserve">, ומר </w:t>
      </w:r>
      <w:proofErr w:type="spellStart"/>
      <w:r>
        <w:rPr>
          <w:rFonts w:ascii="David" w:hAnsi="David" w:hint="cs"/>
          <w:sz w:val="24"/>
          <w:rtl/>
        </w:rPr>
        <w:t>בוטבול</w:t>
      </w:r>
      <w:proofErr w:type="spellEnd"/>
      <w:r>
        <w:rPr>
          <w:rFonts w:ascii="David" w:hAnsi="David" w:hint="cs"/>
          <w:sz w:val="24"/>
          <w:rtl/>
        </w:rPr>
        <w:t xml:space="preserve"> אף לא לקח את ההזדמנות שניתנה לו להוכיח את טענותיו השונות ונמנע מלהגיש תצהירים מטעמו. יש ליתן אפוא משקל לכך שהשתתפותו החלקית של מר </w:t>
      </w:r>
      <w:proofErr w:type="spellStart"/>
      <w:r>
        <w:rPr>
          <w:rFonts w:ascii="David" w:hAnsi="David" w:hint="cs"/>
          <w:sz w:val="24"/>
          <w:rtl/>
        </w:rPr>
        <w:t>בוטבול</w:t>
      </w:r>
      <w:proofErr w:type="spellEnd"/>
      <w:r>
        <w:rPr>
          <w:rFonts w:ascii="David" w:hAnsi="David" w:hint="cs"/>
          <w:sz w:val="24"/>
          <w:rtl/>
        </w:rPr>
        <w:t xml:space="preserve"> בהליך הביאה להארכת ההליך שלא לצורך. בהינתן האמור, מר </w:t>
      </w:r>
      <w:proofErr w:type="spellStart"/>
      <w:r>
        <w:rPr>
          <w:rFonts w:ascii="David" w:hAnsi="David" w:hint="cs"/>
          <w:sz w:val="24"/>
          <w:rtl/>
        </w:rPr>
        <w:t>בוטבול</w:t>
      </w:r>
      <w:proofErr w:type="spellEnd"/>
      <w:r>
        <w:rPr>
          <w:rFonts w:ascii="David" w:hAnsi="David" w:hint="cs"/>
          <w:sz w:val="24"/>
          <w:rtl/>
        </w:rPr>
        <w:t xml:space="preserve"> יישא בהוצאות התובעת בסך של 1,000 ש"ח.</w:t>
      </w:r>
    </w:p>
    <w:p w14:paraId="64663215" w14:textId="1C2D6466" w:rsidR="009539F2" w:rsidRPr="000D2A07" w:rsidRDefault="00830A76" w:rsidP="009539F2">
      <w:pPr>
        <w:pStyle w:val="ac"/>
        <w:numPr>
          <w:ilvl w:val="0"/>
          <w:numId w:val="17"/>
        </w:numPr>
        <w:spacing w:before="100" w:beforeAutospacing="1" w:after="240" w:line="360" w:lineRule="auto"/>
        <w:contextualSpacing w:val="0"/>
        <w:jc w:val="both"/>
        <w:rPr>
          <w:rFonts w:ascii="David" w:hAnsi="David"/>
          <w:sz w:val="24"/>
        </w:rPr>
      </w:pPr>
      <w:r>
        <w:rPr>
          <w:rFonts w:ascii="David" w:hAnsi="David" w:hint="cs"/>
          <w:sz w:val="24"/>
          <w:rtl/>
        </w:rPr>
        <w:t xml:space="preserve">בנוגע לנתבעת, נוסף על השיקולים שנקבעו בפסיקה לעניין פסיקת הוצאות, לקחתי בחשבון את השיקולים הבאים: </w:t>
      </w:r>
      <w:r w:rsidR="009539F2">
        <w:rPr>
          <w:rFonts w:ascii="David" w:hAnsi="David" w:hint="cs"/>
          <w:sz w:val="24"/>
          <w:rtl/>
        </w:rPr>
        <w:t>הנתבעת ניהלה את ההליך עד תום, לרבות דיון הוכחות והגשת סיכומים בכתב, על אף שלא הייתה לה טענת הגנה בת תוקף</w:t>
      </w:r>
      <w:r>
        <w:rPr>
          <w:rFonts w:ascii="David" w:hAnsi="David" w:hint="cs"/>
          <w:sz w:val="24"/>
          <w:rtl/>
        </w:rPr>
        <w:t>;</w:t>
      </w:r>
      <w:r w:rsidR="009539F2">
        <w:rPr>
          <w:rFonts w:ascii="David" w:hAnsi="David" w:hint="cs"/>
          <w:sz w:val="24"/>
          <w:rtl/>
        </w:rPr>
        <w:t xml:space="preserve"> הנתבעת הגישה בקשה חסרת יסוד לסילוק על הסף</w:t>
      </w:r>
      <w:r>
        <w:rPr>
          <w:rFonts w:ascii="David" w:hAnsi="David" w:hint="cs"/>
          <w:sz w:val="24"/>
          <w:rtl/>
        </w:rPr>
        <w:t>,</w:t>
      </w:r>
      <w:r w:rsidR="009539F2">
        <w:rPr>
          <w:rFonts w:ascii="David" w:hAnsi="David" w:hint="cs"/>
          <w:sz w:val="24"/>
          <w:rtl/>
        </w:rPr>
        <w:t xml:space="preserve"> ועמדה על קבלת הכרעה בה</w:t>
      </w:r>
      <w:r>
        <w:rPr>
          <w:rFonts w:ascii="David" w:hAnsi="David" w:hint="cs"/>
          <w:sz w:val="24"/>
          <w:rtl/>
        </w:rPr>
        <w:t>;</w:t>
      </w:r>
      <w:r w:rsidR="009539F2">
        <w:rPr>
          <w:rFonts w:ascii="David" w:hAnsi="David" w:hint="cs"/>
          <w:sz w:val="24"/>
          <w:rtl/>
        </w:rPr>
        <w:t xml:space="preserve"> התנהלותה הדיונית </w:t>
      </w:r>
      <w:r>
        <w:rPr>
          <w:rFonts w:ascii="David" w:hAnsi="David" w:hint="cs"/>
          <w:sz w:val="24"/>
          <w:rtl/>
        </w:rPr>
        <w:t xml:space="preserve">של הנתבעת </w:t>
      </w:r>
      <w:r w:rsidR="009539F2">
        <w:rPr>
          <w:rFonts w:ascii="David" w:hAnsi="David" w:hint="cs"/>
          <w:sz w:val="24"/>
          <w:rtl/>
        </w:rPr>
        <w:t>לוקה בחוסר תום לב, שעה ששינתה חזית במסגרת סיכומיה, תוך שהיא טוענת טענות סותרות עובדתית לטענותיה בשלב מוקדם יותר בהליך</w:t>
      </w:r>
      <w:r>
        <w:rPr>
          <w:rFonts w:ascii="David" w:hAnsi="David" w:hint="cs"/>
          <w:sz w:val="24"/>
          <w:rtl/>
        </w:rPr>
        <w:t>;</w:t>
      </w:r>
      <w:r w:rsidR="009539F2">
        <w:rPr>
          <w:rFonts w:ascii="David" w:hAnsi="David" w:hint="cs"/>
          <w:sz w:val="24"/>
          <w:rtl/>
        </w:rPr>
        <w:t xml:space="preserve"> ניהול ההליך עד תום הביא לכך שהנתבעת המשיכה לעשות שימוש שלא כדין בחניה מס' 17 למשך תקופה ארוכה. לאחר שנתתי דעתי על האמור, כמו גם על השיקולים שנקבעו בפסיקה לעניין פסיקת הוצאות, אני קובע שהנתבעת תישא בהוצאות התובעת בסך של 20,000 ש"ח. </w:t>
      </w:r>
      <w:r w:rsidR="00163256">
        <w:rPr>
          <w:rFonts w:ascii="David" w:hAnsi="David" w:hint="cs"/>
          <w:sz w:val="24"/>
          <w:rtl/>
        </w:rPr>
        <w:t xml:space="preserve">אציין שבנסיבות העניין לא ראיתי מקום לזקוף לחובת התובעת את העובדה שלא נעשתה פנייה מוקדמת לנתבעת, וזאת בשים לב לכך שהנתבעת עמדה על זכותה להמשיך ולעשות שימוש שלא כדין בחניה מס' 17, כך שנראה שפנייה מוקדמת לא הייתה מקדמת את ההליך או חוסכת בהוצאות לצדדים. </w:t>
      </w:r>
    </w:p>
    <w:p w14:paraId="3F9C2A11" w14:textId="699951A8" w:rsidR="009539F2" w:rsidRPr="001655B6" w:rsidRDefault="004667ED" w:rsidP="009539F2">
      <w:pPr>
        <w:pStyle w:val="ac"/>
        <w:numPr>
          <w:ilvl w:val="0"/>
          <w:numId w:val="16"/>
        </w:numPr>
        <w:spacing w:before="100" w:beforeAutospacing="1" w:after="240" w:line="360" w:lineRule="auto"/>
        <w:ind w:left="340" w:hanging="340"/>
        <w:contextualSpacing w:val="0"/>
        <w:jc w:val="both"/>
        <w:rPr>
          <w:rFonts w:ascii="David" w:hAnsi="David"/>
          <w:sz w:val="24"/>
        </w:rPr>
      </w:pPr>
      <w:r>
        <w:rPr>
          <w:noProof/>
        </w:rPr>
        <w:drawing>
          <wp:anchor distT="0" distB="0" distL="114300" distR="114300" simplePos="0" relativeHeight="251658240" behindDoc="1" locked="0" layoutInCell="1" allowOverlap="1" wp14:anchorId="7D4F6D86" wp14:editId="511FBEBE">
            <wp:simplePos x="0" y="0"/>
            <wp:positionH relativeFrom="margin">
              <wp:posOffset>1905</wp:posOffset>
            </wp:positionH>
            <wp:positionV relativeFrom="paragraph">
              <wp:posOffset>501622</wp:posOffset>
            </wp:positionV>
            <wp:extent cx="1586230" cy="1199515"/>
            <wp:effectExtent l="0" t="0" r="0" b="635"/>
            <wp:wrapNone/>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86230" cy="1199515"/>
                    </a:xfrm>
                    <a:prstGeom prst="rect">
                      <a:avLst/>
                    </a:prstGeom>
                    <a:noFill/>
                  </pic:spPr>
                </pic:pic>
              </a:graphicData>
            </a:graphic>
            <wp14:sizeRelH relativeFrom="page">
              <wp14:pctWidth>0</wp14:pctWidth>
            </wp14:sizeRelH>
            <wp14:sizeRelV relativeFrom="page">
              <wp14:pctHeight>0</wp14:pctHeight>
            </wp14:sizeRelV>
          </wp:anchor>
        </w:drawing>
      </w:r>
      <w:r w:rsidR="009539F2">
        <w:rPr>
          <w:rFonts w:hint="cs"/>
          <w:rtl/>
        </w:rPr>
        <w:t>הנתבעים ישלמו את ההוצאות שנפסקו לחובתם בתוך</w:t>
      </w:r>
      <w:r w:rsidR="009539F2" w:rsidRPr="004E12FD">
        <w:rPr>
          <w:sz w:val="24"/>
          <w:rtl/>
        </w:rPr>
        <w:t xml:space="preserve"> 30 </w:t>
      </w:r>
      <w:r w:rsidR="009539F2" w:rsidRPr="004E12FD">
        <w:rPr>
          <w:rFonts w:hint="eastAsia"/>
          <w:sz w:val="24"/>
          <w:rtl/>
        </w:rPr>
        <w:t>ימים</w:t>
      </w:r>
      <w:r w:rsidR="009539F2" w:rsidRPr="004E12FD">
        <w:rPr>
          <w:sz w:val="24"/>
          <w:rtl/>
        </w:rPr>
        <w:t xml:space="preserve"> </w:t>
      </w:r>
      <w:r w:rsidR="009539F2" w:rsidRPr="004E12FD">
        <w:rPr>
          <w:rFonts w:hint="eastAsia"/>
          <w:sz w:val="24"/>
          <w:rtl/>
        </w:rPr>
        <w:t>מיום</w:t>
      </w:r>
      <w:r w:rsidR="009539F2" w:rsidRPr="004E12FD">
        <w:rPr>
          <w:sz w:val="24"/>
          <w:rtl/>
        </w:rPr>
        <w:t xml:space="preserve"> </w:t>
      </w:r>
      <w:r w:rsidR="009539F2" w:rsidRPr="004E12FD">
        <w:rPr>
          <w:rFonts w:hint="eastAsia"/>
          <w:sz w:val="24"/>
          <w:rtl/>
        </w:rPr>
        <w:t>המצאת</w:t>
      </w:r>
      <w:r w:rsidR="009539F2" w:rsidRPr="004E12FD">
        <w:rPr>
          <w:sz w:val="24"/>
          <w:rtl/>
        </w:rPr>
        <w:t xml:space="preserve"> </w:t>
      </w:r>
      <w:r w:rsidR="009539F2" w:rsidRPr="004E12FD">
        <w:rPr>
          <w:rFonts w:hint="eastAsia"/>
          <w:sz w:val="24"/>
          <w:rtl/>
        </w:rPr>
        <w:t>פסק</w:t>
      </w:r>
      <w:r w:rsidR="009539F2" w:rsidRPr="004E12FD">
        <w:rPr>
          <w:sz w:val="24"/>
          <w:rtl/>
        </w:rPr>
        <w:t xml:space="preserve"> </w:t>
      </w:r>
      <w:r w:rsidR="009539F2" w:rsidRPr="004E12FD">
        <w:rPr>
          <w:rFonts w:hint="eastAsia"/>
          <w:sz w:val="24"/>
          <w:rtl/>
        </w:rPr>
        <w:t>הדין</w:t>
      </w:r>
      <w:r w:rsidR="009539F2" w:rsidRPr="004E12FD">
        <w:rPr>
          <w:sz w:val="24"/>
          <w:rtl/>
        </w:rPr>
        <w:t xml:space="preserve"> </w:t>
      </w:r>
      <w:r w:rsidR="009539F2">
        <w:rPr>
          <w:rFonts w:hint="cs"/>
          <w:sz w:val="24"/>
          <w:rtl/>
        </w:rPr>
        <w:t>אליהם</w:t>
      </w:r>
      <w:r w:rsidR="009539F2" w:rsidRPr="004E12FD">
        <w:rPr>
          <w:sz w:val="24"/>
          <w:rtl/>
        </w:rPr>
        <w:t xml:space="preserve">, שאם לא כן </w:t>
      </w:r>
      <w:r w:rsidR="009539F2">
        <w:rPr>
          <w:rFonts w:hint="cs"/>
          <w:sz w:val="24"/>
          <w:rtl/>
        </w:rPr>
        <w:t>י</w:t>
      </w:r>
      <w:r w:rsidR="009539F2" w:rsidRPr="004E12FD">
        <w:rPr>
          <w:rFonts w:hint="eastAsia"/>
          <w:sz w:val="24"/>
          <w:rtl/>
        </w:rPr>
        <w:t>ישא</w:t>
      </w:r>
      <w:r w:rsidR="009539F2" w:rsidRPr="004E12FD">
        <w:rPr>
          <w:sz w:val="24"/>
          <w:rtl/>
        </w:rPr>
        <w:t xml:space="preserve"> </w:t>
      </w:r>
      <w:r w:rsidR="009539F2">
        <w:rPr>
          <w:rFonts w:hint="cs"/>
          <w:sz w:val="24"/>
          <w:rtl/>
        </w:rPr>
        <w:t xml:space="preserve">הסכום שנפסק </w:t>
      </w:r>
      <w:r w:rsidR="009539F2" w:rsidRPr="004E12FD">
        <w:rPr>
          <w:sz w:val="24"/>
          <w:rtl/>
        </w:rPr>
        <w:t xml:space="preserve">ריבית </w:t>
      </w:r>
      <w:r w:rsidR="009539F2" w:rsidRPr="004E12FD">
        <w:rPr>
          <w:rFonts w:hint="eastAsia"/>
          <w:sz w:val="24"/>
          <w:rtl/>
        </w:rPr>
        <w:t>שקלית</w:t>
      </w:r>
      <w:r w:rsidR="009539F2" w:rsidRPr="004E12FD">
        <w:rPr>
          <w:sz w:val="24"/>
          <w:rtl/>
        </w:rPr>
        <w:t xml:space="preserve"> מיום מתן פסק הדין ועד מועד הפירעון</w:t>
      </w:r>
      <w:r w:rsidR="009539F2" w:rsidRPr="004E12FD">
        <w:rPr>
          <w:rFonts w:ascii="David" w:hAnsi="David"/>
          <w:sz w:val="24"/>
          <w:rtl/>
        </w:rPr>
        <w:t>.</w:t>
      </w:r>
      <w:r w:rsidR="009539F2">
        <w:rPr>
          <w:rFonts w:ascii="David" w:hAnsi="David" w:hint="cs"/>
          <w:sz w:val="24"/>
          <w:rtl/>
        </w:rPr>
        <w:t xml:space="preserve"> למען הסר ספק יובהר שחיוב הנתבעים בהוצאות הוא חיוב אישי, ואינו ביחד ולחוד.</w:t>
      </w:r>
    </w:p>
    <w:p w14:paraId="6506B13B" w14:textId="59541686" w:rsidR="009539F2" w:rsidRDefault="009539F2" w:rsidP="00846C80">
      <w:pPr>
        <w:spacing w:before="100" w:after="240" w:line="360" w:lineRule="auto"/>
        <w:ind w:left="340"/>
        <w:contextualSpacing w:val="0"/>
        <w:jc w:val="both"/>
      </w:pPr>
      <w:r>
        <w:rPr>
          <w:rFonts w:ascii="David" w:hAnsi="David"/>
          <w:b/>
          <w:bCs/>
          <w:sz w:val="24"/>
          <w:rtl/>
        </w:rPr>
        <w:t>ניתן היום</w:t>
      </w:r>
      <w:r w:rsidR="00E8574B">
        <w:rPr>
          <w:rFonts w:ascii="David" w:hAnsi="David" w:hint="cs"/>
          <w:b/>
          <w:bCs/>
          <w:sz w:val="24"/>
          <w:rtl/>
        </w:rPr>
        <w:t xml:space="preserve"> 24.11.2025, ד' כסלו תשפ"ו</w:t>
      </w:r>
      <w:r>
        <w:rPr>
          <w:rFonts w:ascii="David" w:hAnsi="David"/>
          <w:b/>
          <w:bCs/>
          <w:sz w:val="24"/>
          <w:rtl/>
        </w:rPr>
        <w:t>, בהיעדר הצדדים</w:t>
      </w:r>
      <w:r>
        <w:rPr>
          <w:rFonts w:ascii="David" w:hAnsi="David"/>
          <w:bCs/>
          <w:sz w:val="24"/>
          <w:rtl/>
        </w:rPr>
        <w:t>.</w:t>
      </w:r>
      <w:bookmarkEnd w:id="0"/>
    </w:p>
    <w:sectPr w:rsidR="009539F2" w:rsidSect="003606E3">
      <w:headerReference w:type="default" r:id="rId12"/>
      <w:footerReference w:type="default" r:id="rId13"/>
      <w:pgSz w:w="11906" w:h="16838"/>
      <w:pgMar w:top="1418" w:right="1418" w:bottom="1418" w:left="1418" w:header="709" w:footer="709"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4F70D" w14:textId="77777777" w:rsidR="00C04636" w:rsidRDefault="00C04636" w:rsidP="00E6645A">
      <w:r>
        <w:separator/>
      </w:r>
    </w:p>
  </w:endnote>
  <w:endnote w:type="continuationSeparator" w:id="0">
    <w:p w14:paraId="452A068C" w14:textId="77777777" w:rsidR="00C04636" w:rsidRDefault="00C04636" w:rsidP="00E66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71306542"/>
      <w:docPartObj>
        <w:docPartGallery w:val="Page Numbers (Bottom of Page)"/>
        <w:docPartUnique/>
      </w:docPartObj>
    </w:sdtPr>
    <w:sdtEndPr>
      <w:rPr>
        <w:rFonts w:ascii="David" w:hAnsi="David"/>
        <w:b/>
        <w:bCs/>
        <w:noProof/>
        <w:sz w:val="24"/>
      </w:rPr>
    </w:sdtEndPr>
    <w:sdtContent>
      <w:p w14:paraId="3667496E" w14:textId="77777777" w:rsidR="00AA5F44" w:rsidRPr="008E0BDC" w:rsidRDefault="00AA5F44">
        <w:pPr>
          <w:pStyle w:val="a8"/>
          <w:jc w:val="center"/>
          <w:rPr>
            <w:rFonts w:ascii="David" w:hAnsi="David"/>
            <w:b/>
            <w:bCs/>
            <w:sz w:val="24"/>
          </w:rPr>
        </w:pPr>
        <w:r w:rsidRPr="008E0BDC">
          <w:rPr>
            <w:rFonts w:ascii="David" w:hAnsi="David" w:hint="cs"/>
            <w:b/>
            <w:bCs/>
            <w:sz w:val="24"/>
            <w:rtl/>
          </w:rPr>
          <w:t xml:space="preserve">עמוד </w:t>
        </w:r>
        <w:r w:rsidR="00005E3A">
          <w:fldChar w:fldCharType="begin"/>
        </w:r>
        <w:r w:rsidR="00005E3A">
          <w:instrText xml:space="preserve"> PAGE   \* MERGEFORMAT </w:instrText>
        </w:r>
        <w:r w:rsidR="00005E3A">
          <w:fldChar w:fldCharType="separate"/>
        </w:r>
        <w:r w:rsidR="009539F2">
          <w:rPr>
            <w:noProof/>
            <w:rtl/>
          </w:rPr>
          <w:t>1</w:t>
        </w:r>
        <w:r w:rsidR="00005E3A">
          <w:fldChar w:fldCharType="end"/>
        </w:r>
      </w:p>
    </w:sdtContent>
  </w:sdt>
  <w:p w14:paraId="3378C3B9" w14:textId="77777777" w:rsidR="00257FA6" w:rsidRPr="00C60A02" w:rsidRDefault="00257FA6">
    <w:pPr>
      <w:pStyle w:val="a8"/>
      <w:rPr>
        <w:cap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F0AD4D" w14:textId="77777777" w:rsidR="00C04636" w:rsidRDefault="00C04636" w:rsidP="00E6645A">
      <w:r>
        <w:separator/>
      </w:r>
    </w:p>
  </w:footnote>
  <w:footnote w:type="continuationSeparator" w:id="0">
    <w:p w14:paraId="1AD1ED90" w14:textId="77777777" w:rsidR="00C04636" w:rsidRDefault="00C04636" w:rsidP="00E66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4C2A5" w14:textId="77777777" w:rsidR="003A2D09" w:rsidRPr="00257FA6" w:rsidRDefault="003A2D09" w:rsidP="003A2D09">
    <w:pPr>
      <w:pStyle w:val="a6"/>
      <w:jc w:val="center"/>
      <w:rPr>
        <w:rFonts w:ascii="Arial" w:hAnsi="Arial"/>
        <w:b/>
        <w:bCs/>
        <w:sz w:val="20"/>
        <w:rtl/>
      </w:rPr>
    </w:pPr>
    <w:r w:rsidRPr="00257FA6">
      <w:rPr>
        <w:rFonts w:ascii="Arial" w:hAnsi="Arial"/>
        <w:b/>
        <w:bCs/>
        <w:noProof/>
        <w:sz w:val="20"/>
        <w:rtl/>
      </w:rPr>
      <w:drawing>
        <wp:inline distT="0" distB="0" distL="0" distR="0" wp14:anchorId="3DA02B27" wp14:editId="44A44D69">
          <wp:extent cx="558165" cy="570230"/>
          <wp:effectExtent l="19050" t="0" r="0" b="0"/>
          <wp:docPr id="1" name="Picture 1" title="סמל מדינת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18000"/>
                    <a:grayscl/>
                    <a:biLevel thresh="50000"/>
                  </a:blip>
                  <a:srcRect/>
                  <a:stretch>
                    <a:fillRect/>
                  </a:stretch>
                </pic:blipFill>
                <pic:spPr bwMode="auto">
                  <a:xfrm>
                    <a:off x="0" y="0"/>
                    <a:ext cx="558165" cy="570230"/>
                  </a:xfrm>
                  <a:prstGeom prst="rect">
                    <a:avLst/>
                  </a:prstGeom>
                  <a:noFill/>
                  <a:ln w="9525">
                    <a:noFill/>
                    <a:miter lim="800000"/>
                    <a:headEnd/>
                    <a:tailEnd/>
                  </a:ln>
                </pic:spPr>
              </pic:pic>
            </a:graphicData>
          </a:graphic>
        </wp:inline>
      </w:drawing>
    </w:r>
  </w:p>
  <w:p w14:paraId="770BF653" w14:textId="77777777" w:rsidR="003A2D09" w:rsidRPr="00257FA6" w:rsidRDefault="003A2D09" w:rsidP="003A2D09">
    <w:pPr>
      <w:pStyle w:val="a6"/>
      <w:jc w:val="center"/>
      <w:rPr>
        <w:rFonts w:ascii="Arial" w:hAnsi="Arial"/>
        <w:b/>
        <w:bCs/>
        <w:sz w:val="20"/>
        <w:rtl/>
      </w:rPr>
    </w:pPr>
    <w:r w:rsidRPr="00257FA6">
      <w:rPr>
        <w:rFonts w:ascii="Arial" w:hAnsi="Arial" w:hint="cs"/>
        <w:b/>
        <w:bCs/>
        <w:sz w:val="20"/>
        <w:rtl/>
      </w:rPr>
      <w:t>מדינת ישראל</w:t>
    </w:r>
  </w:p>
  <w:p w14:paraId="20F5CBCF" w14:textId="77777777" w:rsidR="003A2D09" w:rsidRDefault="003A2D09" w:rsidP="003A2D09">
    <w:pPr>
      <w:pStyle w:val="a6"/>
      <w:jc w:val="center"/>
      <w:rPr>
        <w:rFonts w:ascii="Arial" w:hAnsi="Arial"/>
        <w:b/>
        <w:bCs/>
        <w:sz w:val="20"/>
        <w:rtl/>
      </w:rPr>
    </w:pPr>
    <w:r w:rsidRPr="00257FA6">
      <w:rPr>
        <w:rFonts w:ascii="Arial" w:hAnsi="Arial"/>
        <w:b/>
        <w:bCs/>
        <w:sz w:val="20"/>
        <w:rtl/>
      </w:rPr>
      <w:t>משרד המשפטים</w:t>
    </w:r>
  </w:p>
  <w:p w14:paraId="10988F35" w14:textId="77777777" w:rsidR="003A2D09" w:rsidRPr="00257FA6" w:rsidRDefault="001E56A2" w:rsidP="003A2D09">
    <w:pPr>
      <w:pStyle w:val="a6"/>
      <w:jc w:val="center"/>
      <w:rPr>
        <w:rFonts w:ascii="Arial" w:hAnsi="Arial"/>
        <w:b/>
        <w:bCs/>
        <w:sz w:val="20"/>
        <w:rtl/>
      </w:rPr>
    </w:pPr>
    <w:r>
      <w:rPr>
        <w:rFonts w:ascii="David" w:hAnsi="David"/>
        <w:b/>
        <w:bCs/>
        <w:noProof/>
        <w:sz w:val="24"/>
        <w:rtl/>
      </w:rPr>
      <w:t>רחובות</w:t>
    </w:r>
  </w:p>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8"/>
      <w:gridCol w:w="3686"/>
      <w:gridCol w:w="4537"/>
    </w:tblGrid>
    <w:tr w:rsidR="00D3650D" w:rsidRPr="00257FA6" w14:paraId="2C47F8A4" w14:textId="77777777" w:rsidTr="001035B0">
      <w:tc>
        <w:tcPr>
          <w:tcW w:w="3118" w:type="dxa"/>
        </w:tcPr>
        <w:p w14:paraId="47BA90E9" w14:textId="77777777" w:rsidR="00D3650D" w:rsidRDefault="00D3650D" w:rsidP="001C63D8">
          <w:pPr>
            <w:pStyle w:val="a6"/>
            <w:jc w:val="center"/>
            <w:rPr>
              <w:rFonts w:ascii="Arial" w:hAnsi="Arial"/>
              <w:b/>
              <w:bCs/>
              <w:sz w:val="20"/>
              <w:rtl/>
            </w:rPr>
          </w:pPr>
          <w:r w:rsidRPr="00257FA6">
            <w:rPr>
              <w:rFonts w:ascii="Arial" w:hAnsi="Arial" w:hint="cs"/>
              <w:b/>
              <w:bCs/>
              <w:sz w:val="20"/>
              <w:rtl/>
            </w:rPr>
            <w:t>מפקח על רישום מקרקעין</w:t>
          </w:r>
        </w:p>
        <w:p w14:paraId="5B561E5F" w14:textId="77777777" w:rsidR="00982571" w:rsidRPr="005347F0" w:rsidRDefault="00982571" w:rsidP="00982571">
          <w:pPr>
            <w:pStyle w:val="a6"/>
            <w:jc w:val="center"/>
            <w:rPr>
              <w:b/>
              <w:bCs/>
              <w:sz w:val="24"/>
              <w:rtl/>
            </w:rPr>
          </w:pPr>
          <w:r w:rsidRPr="005347F0">
            <w:rPr>
              <w:rFonts w:hint="cs"/>
              <w:b/>
              <w:bCs/>
              <w:sz w:val="24"/>
              <w:rtl/>
            </w:rPr>
            <w:t>בסמכות שופט בית משפט שלום</w:t>
          </w:r>
        </w:p>
        <w:p w14:paraId="11D819A7" w14:textId="77777777" w:rsidR="00982571" w:rsidRPr="00257FA6" w:rsidRDefault="00982571" w:rsidP="00982571">
          <w:pPr>
            <w:pStyle w:val="a6"/>
            <w:jc w:val="center"/>
            <w:rPr>
              <w:rFonts w:ascii="Arial" w:hAnsi="Arial"/>
              <w:b/>
              <w:bCs/>
              <w:sz w:val="20"/>
              <w:rtl/>
            </w:rPr>
          </w:pPr>
          <w:r>
            <w:rPr>
              <w:rFonts w:hint="cs"/>
              <w:b/>
              <w:bCs/>
              <w:sz w:val="24"/>
              <w:rtl/>
            </w:rPr>
            <w:t>לפי סעיף 74 לחוק המקרקעין</w:t>
          </w:r>
        </w:p>
      </w:tc>
      <w:tc>
        <w:tcPr>
          <w:tcW w:w="3686" w:type="dxa"/>
        </w:tcPr>
        <w:p w14:paraId="2A5CC7CD" w14:textId="77777777" w:rsidR="00D3650D" w:rsidRPr="00257FA6" w:rsidRDefault="00D3650D" w:rsidP="00373A1B">
          <w:pPr>
            <w:pStyle w:val="a6"/>
            <w:jc w:val="center"/>
            <w:rPr>
              <w:rFonts w:ascii="Arial" w:hAnsi="Arial"/>
              <w:b/>
              <w:bCs/>
              <w:sz w:val="20"/>
              <w:rtl/>
            </w:rPr>
          </w:pPr>
        </w:p>
      </w:tc>
      <w:tc>
        <w:tcPr>
          <w:tcW w:w="4537" w:type="dxa"/>
        </w:tcPr>
        <w:p w14:paraId="4469DCCA" w14:textId="53C0E431" w:rsidR="00D3650D" w:rsidRPr="00257FA6" w:rsidRDefault="001E56A2" w:rsidP="001C63D8">
          <w:pPr>
            <w:pStyle w:val="a6"/>
            <w:rPr>
              <w:rFonts w:ascii="Arial" w:hAnsi="Arial"/>
              <w:b/>
              <w:bCs/>
              <w:sz w:val="20"/>
              <w:rtl/>
            </w:rPr>
          </w:pPr>
          <w:r>
            <w:rPr>
              <w:rFonts w:ascii="David" w:hAnsi="David"/>
              <w:b/>
              <w:bCs/>
              <w:noProof/>
              <w:sz w:val="24"/>
              <w:rtl/>
            </w:rPr>
            <w:t>מס' תיק: 3/382/2024</w:t>
          </w:r>
          <w:r>
            <w:br/>
          </w:r>
        </w:p>
      </w:tc>
    </w:tr>
  </w:tbl>
  <w:p w14:paraId="601A7B73" w14:textId="77777777" w:rsidR="003A2D09" w:rsidRPr="00257FA6" w:rsidRDefault="003A2D09" w:rsidP="003A2D09">
    <w:pPr>
      <w:pStyle w:val="a6"/>
      <w:rPr>
        <w:rFonts w:ascii="Arial" w:hAnsi="Arial"/>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9DEFC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8D4A2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E98F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C5C9CA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B8A3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E4A8AB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E80DB2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6EE42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9EDB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BA4A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021AE"/>
    <w:multiLevelType w:val="hybridMultilevel"/>
    <w:tmpl w:val="94309F9E"/>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1" w15:restartNumberingAfterBreak="0">
    <w:nsid w:val="015836C9"/>
    <w:multiLevelType w:val="hybridMultilevel"/>
    <w:tmpl w:val="238626B8"/>
    <w:lvl w:ilvl="0" w:tplc="865C0F08">
      <w:numFmt w:val="bullet"/>
      <w:lvlText w:val=""/>
      <w:lvlJc w:val="left"/>
      <w:pPr>
        <w:ind w:left="720" w:hanging="360"/>
      </w:pPr>
      <w:rPr>
        <w:rFonts w:ascii="Symbol" w:eastAsiaTheme="minorHAns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2735EF"/>
    <w:multiLevelType w:val="hybridMultilevel"/>
    <w:tmpl w:val="CCFA2E40"/>
    <w:lvl w:ilvl="0" w:tplc="9A5E7C72">
      <w:start w:val="1"/>
      <w:numFmt w:val="decimal"/>
      <w:lvlText w:val="%1."/>
      <w:lvlJc w:val="left"/>
      <w:pPr>
        <w:ind w:left="360" w:hanging="360"/>
      </w:pPr>
      <w:rPr>
        <w:b w:val="0"/>
        <w:bCs w:val="0"/>
        <w:sz w:val="24"/>
      </w:rPr>
    </w:lvl>
    <w:lvl w:ilvl="1" w:tplc="04090019">
      <w:start w:val="1"/>
      <w:numFmt w:val="lowerLetter"/>
      <w:lvlText w:val="%2."/>
      <w:lvlJc w:val="left"/>
      <w:pPr>
        <w:ind w:left="1987" w:hanging="360"/>
      </w:pPr>
    </w:lvl>
    <w:lvl w:ilvl="2" w:tplc="0409001B">
      <w:start w:val="1"/>
      <w:numFmt w:val="lowerRoman"/>
      <w:lvlText w:val="%3."/>
      <w:lvlJc w:val="right"/>
      <w:pPr>
        <w:ind w:left="2707" w:hanging="180"/>
      </w:pPr>
    </w:lvl>
    <w:lvl w:ilvl="3" w:tplc="0409000F">
      <w:start w:val="1"/>
      <w:numFmt w:val="decimal"/>
      <w:lvlText w:val="%4."/>
      <w:lvlJc w:val="left"/>
      <w:pPr>
        <w:ind w:left="3427" w:hanging="360"/>
      </w:pPr>
    </w:lvl>
    <w:lvl w:ilvl="4" w:tplc="04090019">
      <w:start w:val="1"/>
      <w:numFmt w:val="lowerLetter"/>
      <w:lvlText w:val="%5."/>
      <w:lvlJc w:val="left"/>
      <w:pPr>
        <w:ind w:left="4147" w:hanging="360"/>
      </w:pPr>
    </w:lvl>
    <w:lvl w:ilvl="5" w:tplc="0409001B">
      <w:start w:val="1"/>
      <w:numFmt w:val="lowerRoman"/>
      <w:lvlText w:val="%6."/>
      <w:lvlJc w:val="right"/>
      <w:pPr>
        <w:ind w:left="4867" w:hanging="180"/>
      </w:pPr>
    </w:lvl>
    <w:lvl w:ilvl="6" w:tplc="0409000F">
      <w:start w:val="1"/>
      <w:numFmt w:val="decimal"/>
      <w:lvlText w:val="%7."/>
      <w:lvlJc w:val="left"/>
      <w:pPr>
        <w:ind w:left="5587" w:hanging="360"/>
      </w:pPr>
    </w:lvl>
    <w:lvl w:ilvl="7" w:tplc="04090019">
      <w:start w:val="1"/>
      <w:numFmt w:val="lowerLetter"/>
      <w:lvlText w:val="%8."/>
      <w:lvlJc w:val="left"/>
      <w:pPr>
        <w:ind w:left="6307" w:hanging="360"/>
      </w:pPr>
    </w:lvl>
    <w:lvl w:ilvl="8" w:tplc="0409001B">
      <w:start w:val="1"/>
      <w:numFmt w:val="lowerRoman"/>
      <w:lvlText w:val="%9."/>
      <w:lvlJc w:val="right"/>
      <w:pPr>
        <w:ind w:left="7027" w:hanging="180"/>
      </w:pPr>
    </w:lvl>
  </w:abstractNum>
  <w:abstractNum w:abstractNumId="13" w15:restartNumberingAfterBreak="0">
    <w:nsid w:val="4CF8164A"/>
    <w:multiLevelType w:val="hybridMultilevel"/>
    <w:tmpl w:val="7110D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974872"/>
    <w:multiLevelType w:val="hybridMultilevel"/>
    <w:tmpl w:val="1E981BB8"/>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5" w15:restartNumberingAfterBreak="0">
    <w:nsid w:val="7E0726CB"/>
    <w:multiLevelType w:val="hybridMultilevel"/>
    <w:tmpl w:val="D644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3"/>
  </w:num>
  <w:num w:numId="3">
    <w:abstractNumId w:val="14"/>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5"/>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gutterAtTop/>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Table" w:val="1"/>
    <w:docVar w:name="P1" w:val="Document MetaData-25/11/2025 13:39:31"/>
    <w:docVar w:name="ParaNumber" w:val="162"/>
  </w:docVars>
  <w:rsids>
    <w:rsidRoot w:val="00A85247"/>
    <w:rsid w:val="00002AEE"/>
    <w:rsid w:val="00003CC5"/>
    <w:rsid w:val="00005402"/>
    <w:rsid w:val="000057E8"/>
    <w:rsid w:val="00005E3A"/>
    <w:rsid w:val="00020148"/>
    <w:rsid w:val="0002373E"/>
    <w:rsid w:val="00041D06"/>
    <w:rsid w:val="00064A36"/>
    <w:rsid w:val="00067456"/>
    <w:rsid w:val="00073376"/>
    <w:rsid w:val="0007500C"/>
    <w:rsid w:val="000752D2"/>
    <w:rsid w:val="0008218B"/>
    <w:rsid w:val="00082BC7"/>
    <w:rsid w:val="000834B7"/>
    <w:rsid w:val="000960BA"/>
    <w:rsid w:val="000C25E1"/>
    <w:rsid w:val="000D1035"/>
    <w:rsid w:val="000E046E"/>
    <w:rsid w:val="000E59A0"/>
    <w:rsid w:val="000F1BB5"/>
    <w:rsid w:val="000F40C1"/>
    <w:rsid w:val="0010153E"/>
    <w:rsid w:val="001035B0"/>
    <w:rsid w:val="00107339"/>
    <w:rsid w:val="001166DA"/>
    <w:rsid w:val="00141176"/>
    <w:rsid w:val="00163256"/>
    <w:rsid w:val="00171732"/>
    <w:rsid w:val="001A73F3"/>
    <w:rsid w:val="001D4325"/>
    <w:rsid w:val="001E56A2"/>
    <w:rsid w:val="001F5C40"/>
    <w:rsid w:val="00227E56"/>
    <w:rsid w:val="00227EDD"/>
    <w:rsid w:val="00237FAC"/>
    <w:rsid w:val="00257FA6"/>
    <w:rsid w:val="0026341F"/>
    <w:rsid w:val="0028308D"/>
    <w:rsid w:val="00285EE4"/>
    <w:rsid w:val="002A668B"/>
    <w:rsid w:val="002E7B80"/>
    <w:rsid w:val="00302C45"/>
    <w:rsid w:val="00344FAA"/>
    <w:rsid w:val="0034710D"/>
    <w:rsid w:val="00353E71"/>
    <w:rsid w:val="00355305"/>
    <w:rsid w:val="00355C48"/>
    <w:rsid w:val="003571AE"/>
    <w:rsid w:val="0036024A"/>
    <w:rsid w:val="003606E3"/>
    <w:rsid w:val="003745AA"/>
    <w:rsid w:val="00382123"/>
    <w:rsid w:val="003A2D09"/>
    <w:rsid w:val="003A5B0C"/>
    <w:rsid w:val="003E0904"/>
    <w:rsid w:val="003E5409"/>
    <w:rsid w:val="003F0297"/>
    <w:rsid w:val="003F03E7"/>
    <w:rsid w:val="00416D3E"/>
    <w:rsid w:val="0043108A"/>
    <w:rsid w:val="00436544"/>
    <w:rsid w:val="004507C9"/>
    <w:rsid w:val="00451EC5"/>
    <w:rsid w:val="0046217D"/>
    <w:rsid w:val="0046318A"/>
    <w:rsid w:val="004652EB"/>
    <w:rsid w:val="004667ED"/>
    <w:rsid w:val="00472CF9"/>
    <w:rsid w:val="00492E70"/>
    <w:rsid w:val="004C4A98"/>
    <w:rsid w:val="004E326D"/>
    <w:rsid w:val="004F780E"/>
    <w:rsid w:val="00506114"/>
    <w:rsid w:val="00533418"/>
    <w:rsid w:val="00535A25"/>
    <w:rsid w:val="00545351"/>
    <w:rsid w:val="00545579"/>
    <w:rsid w:val="00555A87"/>
    <w:rsid w:val="005714F0"/>
    <w:rsid w:val="005807C0"/>
    <w:rsid w:val="00595C4A"/>
    <w:rsid w:val="005A4338"/>
    <w:rsid w:val="005B2A07"/>
    <w:rsid w:val="005B6D9F"/>
    <w:rsid w:val="005B7227"/>
    <w:rsid w:val="005E07ED"/>
    <w:rsid w:val="005E224F"/>
    <w:rsid w:val="005F04A9"/>
    <w:rsid w:val="006154A7"/>
    <w:rsid w:val="00627AC1"/>
    <w:rsid w:val="0063709C"/>
    <w:rsid w:val="006478D8"/>
    <w:rsid w:val="00651AB5"/>
    <w:rsid w:val="00657C5B"/>
    <w:rsid w:val="0066182D"/>
    <w:rsid w:val="00677D3C"/>
    <w:rsid w:val="0068496F"/>
    <w:rsid w:val="006906EC"/>
    <w:rsid w:val="00690A15"/>
    <w:rsid w:val="00696EE2"/>
    <w:rsid w:val="006D4388"/>
    <w:rsid w:val="006E5B31"/>
    <w:rsid w:val="006F3E4F"/>
    <w:rsid w:val="00716D3E"/>
    <w:rsid w:val="007447BC"/>
    <w:rsid w:val="007523B0"/>
    <w:rsid w:val="007606E7"/>
    <w:rsid w:val="00761393"/>
    <w:rsid w:val="0076341C"/>
    <w:rsid w:val="00772464"/>
    <w:rsid w:val="0078315F"/>
    <w:rsid w:val="00786824"/>
    <w:rsid w:val="00792E10"/>
    <w:rsid w:val="007A22B9"/>
    <w:rsid w:val="007B1CF6"/>
    <w:rsid w:val="007E3C9A"/>
    <w:rsid w:val="007E47BC"/>
    <w:rsid w:val="00803D38"/>
    <w:rsid w:val="00830A76"/>
    <w:rsid w:val="008346FC"/>
    <w:rsid w:val="00835647"/>
    <w:rsid w:val="00841790"/>
    <w:rsid w:val="00846C80"/>
    <w:rsid w:val="00846D73"/>
    <w:rsid w:val="00850B49"/>
    <w:rsid w:val="0086487F"/>
    <w:rsid w:val="00867BA8"/>
    <w:rsid w:val="008716BE"/>
    <w:rsid w:val="00895C0A"/>
    <w:rsid w:val="008A2AB4"/>
    <w:rsid w:val="008A7D76"/>
    <w:rsid w:val="008C4D39"/>
    <w:rsid w:val="008E0BDC"/>
    <w:rsid w:val="009058E3"/>
    <w:rsid w:val="00941F0E"/>
    <w:rsid w:val="0095273E"/>
    <w:rsid w:val="009539F2"/>
    <w:rsid w:val="00954DDD"/>
    <w:rsid w:val="00982571"/>
    <w:rsid w:val="00986C4F"/>
    <w:rsid w:val="00995661"/>
    <w:rsid w:val="009957CE"/>
    <w:rsid w:val="009C577F"/>
    <w:rsid w:val="009C5B4E"/>
    <w:rsid w:val="009E14FF"/>
    <w:rsid w:val="009E6737"/>
    <w:rsid w:val="009F14CE"/>
    <w:rsid w:val="009F46C4"/>
    <w:rsid w:val="00A014E7"/>
    <w:rsid w:val="00A02096"/>
    <w:rsid w:val="00A12C45"/>
    <w:rsid w:val="00A24785"/>
    <w:rsid w:val="00A3282F"/>
    <w:rsid w:val="00A32A8D"/>
    <w:rsid w:val="00A44778"/>
    <w:rsid w:val="00A4569A"/>
    <w:rsid w:val="00A56393"/>
    <w:rsid w:val="00A85247"/>
    <w:rsid w:val="00A87A98"/>
    <w:rsid w:val="00AA2219"/>
    <w:rsid w:val="00AA5F44"/>
    <w:rsid w:val="00AA6CAB"/>
    <w:rsid w:val="00AA7FAF"/>
    <w:rsid w:val="00AC0A8E"/>
    <w:rsid w:val="00AD6010"/>
    <w:rsid w:val="00AE5FE0"/>
    <w:rsid w:val="00AF31EE"/>
    <w:rsid w:val="00B06DCB"/>
    <w:rsid w:val="00B137E2"/>
    <w:rsid w:val="00B20B1E"/>
    <w:rsid w:val="00B26051"/>
    <w:rsid w:val="00B27DA5"/>
    <w:rsid w:val="00B34635"/>
    <w:rsid w:val="00B37608"/>
    <w:rsid w:val="00B453DC"/>
    <w:rsid w:val="00B720C7"/>
    <w:rsid w:val="00B80929"/>
    <w:rsid w:val="00B82135"/>
    <w:rsid w:val="00B93DB7"/>
    <w:rsid w:val="00BB4A46"/>
    <w:rsid w:val="00BC453B"/>
    <w:rsid w:val="00BD2B92"/>
    <w:rsid w:val="00BD611E"/>
    <w:rsid w:val="00BF226D"/>
    <w:rsid w:val="00C04636"/>
    <w:rsid w:val="00C06756"/>
    <w:rsid w:val="00C07D14"/>
    <w:rsid w:val="00C21C67"/>
    <w:rsid w:val="00C2248B"/>
    <w:rsid w:val="00C32D24"/>
    <w:rsid w:val="00C333A2"/>
    <w:rsid w:val="00C351AC"/>
    <w:rsid w:val="00C452A8"/>
    <w:rsid w:val="00C60A02"/>
    <w:rsid w:val="00C8524A"/>
    <w:rsid w:val="00C92D3D"/>
    <w:rsid w:val="00CB44D3"/>
    <w:rsid w:val="00CD0363"/>
    <w:rsid w:val="00CD7D08"/>
    <w:rsid w:val="00CF458D"/>
    <w:rsid w:val="00D0443B"/>
    <w:rsid w:val="00D11EF2"/>
    <w:rsid w:val="00D3650D"/>
    <w:rsid w:val="00D40469"/>
    <w:rsid w:val="00D507E2"/>
    <w:rsid w:val="00D54636"/>
    <w:rsid w:val="00D63F0C"/>
    <w:rsid w:val="00D80962"/>
    <w:rsid w:val="00D85A78"/>
    <w:rsid w:val="00DB2354"/>
    <w:rsid w:val="00DB6109"/>
    <w:rsid w:val="00E0435C"/>
    <w:rsid w:val="00E114C4"/>
    <w:rsid w:val="00E13BDC"/>
    <w:rsid w:val="00E2132A"/>
    <w:rsid w:val="00E33D5F"/>
    <w:rsid w:val="00E5481C"/>
    <w:rsid w:val="00E644DA"/>
    <w:rsid w:val="00E6645A"/>
    <w:rsid w:val="00E67049"/>
    <w:rsid w:val="00E8345C"/>
    <w:rsid w:val="00E84FA8"/>
    <w:rsid w:val="00E8574B"/>
    <w:rsid w:val="00EA29F4"/>
    <w:rsid w:val="00EA5C43"/>
    <w:rsid w:val="00EB709B"/>
    <w:rsid w:val="00EC1F35"/>
    <w:rsid w:val="00ED573F"/>
    <w:rsid w:val="00EF72B9"/>
    <w:rsid w:val="00F00726"/>
    <w:rsid w:val="00F05D0A"/>
    <w:rsid w:val="00F3383F"/>
    <w:rsid w:val="00F44D7E"/>
    <w:rsid w:val="00F45876"/>
    <w:rsid w:val="00F53FCE"/>
    <w:rsid w:val="00F56AA8"/>
    <w:rsid w:val="00F65521"/>
    <w:rsid w:val="00F7708F"/>
    <w:rsid w:val="00FA41DF"/>
    <w:rsid w:val="00FA58F2"/>
    <w:rsid w:val="00FB5007"/>
    <w:rsid w:val="00FB52B5"/>
    <w:rsid w:val="00FC4C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57F0C6B1"/>
  <w15:docId w15:val="{75389747-F8C3-4CB5-A1FC-EA8B9674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7ED"/>
    <w:pPr>
      <w:bidi/>
      <w:spacing w:after="0" w:line="240" w:lineRule="auto"/>
      <w:contextualSpacing/>
    </w:pPr>
    <w:rPr>
      <w:rFonts w:ascii="Times New Roman" w:hAnsi="Times New Roman" w:cs="David"/>
      <w:szCs w:val="24"/>
    </w:rPr>
  </w:style>
  <w:style w:type="paragraph" w:styleId="1">
    <w:name w:val="heading 1"/>
    <w:basedOn w:val="a"/>
    <w:next w:val="a"/>
    <w:link w:val="10"/>
    <w:uiPriority w:val="9"/>
    <w:qFormat/>
    <w:rsid w:val="007606E7"/>
    <w:pPr>
      <w:jc w:val="both"/>
      <w:outlineLvl w:val="0"/>
    </w:pPr>
    <w:rPr>
      <w:rFonts w:ascii="David" w:hAnsi="David"/>
      <w:b/>
      <w:bCs/>
      <w:sz w:val="24"/>
    </w:rPr>
  </w:style>
  <w:style w:type="paragraph" w:styleId="2">
    <w:name w:val="heading 2"/>
    <w:basedOn w:val="a"/>
    <w:next w:val="a"/>
    <w:link w:val="20"/>
    <w:uiPriority w:val="9"/>
    <w:unhideWhenUsed/>
    <w:qFormat/>
    <w:rsid w:val="007606E7"/>
    <w:pPr>
      <w:keepNext/>
      <w:keepLines/>
      <w:jc w:val="both"/>
      <w:outlineLvl w:val="1"/>
    </w:pPr>
    <w:rPr>
      <w:rFonts w:ascii="David" w:eastAsia="David" w:hAnsi="David"/>
      <w:sz w:val="24"/>
      <w:u w:val="single"/>
    </w:rPr>
  </w:style>
  <w:style w:type="paragraph" w:styleId="3">
    <w:name w:val="heading 3"/>
    <w:basedOn w:val="a"/>
    <w:next w:val="a"/>
    <w:link w:val="30"/>
    <w:uiPriority w:val="9"/>
    <w:unhideWhenUsed/>
    <w:qFormat/>
    <w:rsid w:val="007606E7"/>
    <w:pPr>
      <w:keepNext/>
      <w:keepLines/>
      <w:jc w:val="both"/>
      <w:outlineLvl w:val="2"/>
    </w:pPr>
    <w:rPr>
      <w:rFonts w:ascii="David" w:eastAsia="David" w:hAnsi="David"/>
      <w:i/>
      <w:i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8524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nhideWhenUsed/>
    <w:rsid w:val="00A85247"/>
    <w:rPr>
      <w:rFonts w:ascii="Tahoma" w:hAnsi="Tahoma" w:cs="Tahoma"/>
      <w:sz w:val="16"/>
      <w:szCs w:val="16"/>
    </w:rPr>
  </w:style>
  <w:style w:type="character" w:customStyle="1" w:styleId="a5">
    <w:name w:val="טקסט בלונים תו"/>
    <w:basedOn w:val="a0"/>
    <w:link w:val="a4"/>
    <w:rsid w:val="00A85247"/>
    <w:rPr>
      <w:rFonts w:ascii="Tahoma" w:hAnsi="Tahoma" w:cs="Tahoma"/>
      <w:sz w:val="16"/>
      <w:szCs w:val="16"/>
    </w:rPr>
  </w:style>
  <w:style w:type="paragraph" w:styleId="a6">
    <w:name w:val="header"/>
    <w:basedOn w:val="a"/>
    <w:link w:val="a7"/>
    <w:unhideWhenUsed/>
    <w:rsid w:val="00E6645A"/>
    <w:pPr>
      <w:tabs>
        <w:tab w:val="center" w:pos="4153"/>
        <w:tab w:val="right" w:pos="8306"/>
      </w:tabs>
    </w:pPr>
  </w:style>
  <w:style w:type="character" w:customStyle="1" w:styleId="a7">
    <w:name w:val="כותרת עליונה תו"/>
    <w:basedOn w:val="a0"/>
    <w:link w:val="a6"/>
    <w:uiPriority w:val="99"/>
    <w:semiHidden/>
    <w:rsid w:val="00E6645A"/>
  </w:style>
  <w:style w:type="paragraph" w:styleId="a8">
    <w:name w:val="footer"/>
    <w:basedOn w:val="a"/>
    <w:link w:val="a9"/>
    <w:uiPriority w:val="99"/>
    <w:unhideWhenUsed/>
    <w:rsid w:val="00E6645A"/>
    <w:pPr>
      <w:tabs>
        <w:tab w:val="center" w:pos="4153"/>
        <w:tab w:val="right" w:pos="8306"/>
      </w:tabs>
    </w:pPr>
  </w:style>
  <w:style w:type="character" w:customStyle="1" w:styleId="a9">
    <w:name w:val="כותרת תחתונה תו"/>
    <w:basedOn w:val="a0"/>
    <w:link w:val="a8"/>
    <w:uiPriority w:val="99"/>
    <w:rsid w:val="00E6645A"/>
  </w:style>
  <w:style w:type="character" w:styleId="aa">
    <w:name w:val="page number"/>
    <w:basedOn w:val="a0"/>
    <w:rsid w:val="00D0443B"/>
  </w:style>
  <w:style w:type="paragraph" w:styleId="ab">
    <w:name w:val="Revision"/>
    <w:hidden/>
    <w:uiPriority w:val="99"/>
    <w:semiHidden/>
    <w:rsid w:val="0076341C"/>
    <w:pPr>
      <w:spacing w:after="0" w:line="240" w:lineRule="auto"/>
    </w:pPr>
  </w:style>
  <w:style w:type="paragraph" w:styleId="ac">
    <w:name w:val="List Paragraph"/>
    <w:basedOn w:val="a"/>
    <w:link w:val="ad"/>
    <w:uiPriority w:val="34"/>
    <w:qFormat/>
    <w:rsid w:val="00003CC5"/>
    <w:pPr>
      <w:ind w:left="720"/>
    </w:pPr>
  </w:style>
  <w:style w:type="table" w:customStyle="1" w:styleId="TableGrid1">
    <w:name w:val="Table Grid1"/>
    <w:basedOn w:val="a1"/>
    <w:next w:val="a3"/>
    <w:uiPriority w:val="59"/>
    <w:rsid w:val="006F3E4F"/>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כותרת 1 תו"/>
    <w:basedOn w:val="a0"/>
    <w:link w:val="1"/>
    <w:uiPriority w:val="9"/>
    <w:rsid w:val="007606E7"/>
    <w:rPr>
      <w:rFonts w:ascii="David" w:hAnsi="David" w:cs="David"/>
      <w:b/>
      <w:bCs/>
      <w:sz w:val="24"/>
      <w:szCs w:val="24"/>
    </w:rPr>
  </w:style>
  <w:style w:type="character" w:customStyle="1" w:styleId="20">
    <w:name w:val="כותרת 2 תו"/>
    <w:basedOn w:val="a0"/>
    <w:link w:val="2"/>
    <w:uiPriority w:val="9"/>
    <w:rsid w:val="007606E7"/>
    <w:rPr>
      <w:rFonts w:ascii="David" w:eastAsia="David" w:hAnsi="David" w:cs="David"/>
      <w:sz w:val="24"/>
      <w:szCs w:val="24"/>
      <w:u w:val="single"/>
    </w:rPr>
  </w:style>
  <w:style w:type="character" w:customStyle="1" w:styleId="30">
    <w:name w:val="כותרת 3 תו"/>
    <w:basedOn w:val="a0"/>
    <w:link w:val="3"/>
    <w:uiPriority w:val="9"/>
    <w:rsid w:val="007606E7"/>
    <w:rPr>
      <w:rFonts w:ascii="David" w:eastAsia="David" w:hAnsi="David" w:cs="David"/>
      <w:i/>
      <w:iCs/>
      <w:sz w:val="24"/>
      <w:szCs w:val="24"/>
    </w:rPr>
  </w:style>
  <w:style w:type="character" w:customStyle="1" w:styleId="ad">
    <w:name w:val="פיסקת רשימה תו"/>
    <w:link w:val="ac"/>
    <w:uiPriority w:val="34"/>
    <w:locked/>
    <w:rsid w:val="009539F2"/>
    <w:rPr>
      <w:rFonts w:ascii="Times New Roman" w:hAnsi="Times New Roman" w:cs="David"/>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319158D021A48449234D6B1A7DD7730" ma:contentTypeVersion="0" ma:contentTypeDescription="Create a new document." ma:contentTypeScope="" ma:versionID="cdec582a9fdaa644d72186c99c178d3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175984EF-3A5E-44D2-8087-A76CBD6EBC76}">
  <ds:schemaRefs>
    <ds:schemaRef ds:uri="http://schemas.openxmlformats.org/officeDocument/2006/bibliography"/>
  </ds:schemaRefs>
</ds:datastoreItem>
</file>

<file path=customXml/itemProps2.xml><?xml version="1.0" encoding="utf-8"?>
<ds:datastoreItem xmlns:ds="http://schemas.openxmlformats.org/officeDocument/2006/customXml" ds:itemID="{5080F5D6-6585-4AF0-9ADA-103159972836}">
  <ds:schemaRefs>
    <ds:schemaRef ds:uri="http://schemas.microsoft.com/sharepoint/v3/contenttype/forms"/>
  </ds:schemaRefs>
</ds:datastoreItem>
</file>

<file path=customXml/itemProps3.xml><?xml version="1.0" encoding="utf-8"?>
<ds:datastoreItem xmlns:ds="http://schemas.openxmlformats.org/officeDocument/2006/customXml" ds:itemID="{C7711B82-15E3-41FF-A74C-ADB3783C97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7C57F1DE-83A5-433F-9389-3372BB37D76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5945</Words>
  <Characters>27985</Characters>
  <Application>Microsoft Office Word</Application>
  <DocSecurity>0</DocSecurity>
  <Lines>513</Lines>
  <Paragraphs>130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33894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פסק דין 3/382/2024</dc:title>
  <dc:creator/>
  <dc:description>שלב 3 - טיפול בטבלאות 
</dc:description>
  <cp:lastModifiedBy>LIOR ALOMI</cp:lastModifiedBy>
  <cp:revision>4</cp:revision>
  <cp:lastPrinted>2011-05-23T06:49:00Z</cp:lastPrinted>
  <dcterms:created xsi:type="dcterms:W3CDTF">2025-11-25T11:38:00Z</dcterms:created>
  <dcterms:modified xsi:type="dcterms:W3CDTF">2025-11-25T11:40:00Z</dcterms:modified>
  <dc:language>עברית</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0x010100B319158D021A48449234D6B1A7DD7730</vt:lpwstr>
  </property>
  <property fmtid="{D5CDD505-2E9C-101B-9397-08002B2CF9AE}" pid="3" name="DctmFieldsUpdated">
    <vt:bool>true</vt:bool>
  </property>
</Properties>
</file>