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3118"/>
        <w:gridCol w:w="3686"/>
        <w:gridCol w:w="4537"/>
      </w:tblGrid>
      <w:tr w:rsidR="001035B0" w:rsidRPr="008A7D76" w14:paraId="5B669E89" w14:textId="77777777" w:rsidTr="00990DAA">
        <w:trPr>
          <w:cantSplit/>
        </w:trPr>
        <w:tc>
          <w:tcPr>
            <w:tcW w:w="3118" w:type="dxa"/>
          </w:tcPr>
          <w:p w14:paraId="5A5A811E" w14:textId="77777777" w:rsidR="001035B0" w:rsidRPr="008A7D76" w:rsidRDefault="001035B0" w:rsidP="007A5335">
            <w:pPr>
              <w:pStyle w:val="a6"/>
              <w:jc w:val="center"/>
              <w:rPr>
                <w:rFonts w:ascii="David" w:hAnsi="David"/>
                <w:b/>
                <w:bCs/>
                <w:sz w:val="24"/>
                <w:rtl/>
              </w:rPr>
            </w:pPr>
          </w:p>
        </w:tc>
        <w:tc>
          <w:tcPr>
            <w:tcW w:w="3686" w:type="dxa"/>
          </w:tcPr>
          <w:p w14:paraId="5D18379C" w14:textId="77777777" w:rsidR="001035B0" w:rsidRPr="008A7D76" w:rsidRDefault="001035B0" w:rsidP="007A5335">
            <w:pPr>
              <w:pStyle w:val="a6"/>
              <w:jc w:val="center"/>
              <w:rPr>
                <w:rFonts w:ascii="David" w:hAnsi="David"/>
                <w:b/>
                <w:bCs/>
                <w:sz w:val="24"/>
                <w:rtl/>
              </w:rPr>
            </w:pPr>
          </w:p>
        </w:tc>
        <w:tc>
          <w:tcPr>
            <w:tcW w:w="4537" w:type="dxa"/>
          </w:tcPr>
          <w:p w14:paraId="051A421A" w14:textId="5CAE2B75" w:rsidR="001035B0" w:rsidRPr="008A7D76" w:rsidRDefault="001035B0" w:rsidP="00545579">
            <w:pPr>
              <w:rPr>
                <w:rFonts w:ascii="David" w:hAnsi="David"/>
                <w:sz w:val="24"/>
                <w:rtl/>
              </w:rPr>
            </w:pPr>
            <w:r w:rsidRPr="008A7D76">
              <w:rPr>
                <w:rFonts w:ascii="David" w:hAnsi="David" w:hint="cs"/>
                <w:b/>
                <w:bCs/>
                <w:sz w:val="24"/>
                <w:rtl/>
              </w:rPr>
              <w:t xml:space="preserve">בפני כבוד </w:t>
            </w:r>
            <w:r w:rsidR="00C41114">
              <w:rPr>
                <w:rFonts w:ascii="David" w:hAnsi="David" w:hint="cs"/>
                <w:b/>
                <w:bCs/>
                <w:noProof/>
                <w:sz w:val="24"/>
                <w:rtl/>
              </w:rPr>
              <w:t>ה</w:t>
            </w:r>
            <w:r>
              <w:rPr>
                <w:rFonts w:ascii="David" w:hAnsi="David"/>
                <w:b/>
                <w:bCs/>
                <w:noProof/>
                <w:sz w:val="24"/>
                <w:rtl/>
              </w:rPr>
              <w:t>מפקח</w:t>
            </w:r>
            <w:r w:rsidR="00C41114">
              <w:rPr>
                <w:rFonts w:ascii="David" w:hAnsi="David" w:hint="cs"/>
                <w:b/>
                <w:bCs/>
                <w:noProof/>
                <w:sz w:val="24"/>
                <w:rtl/>
              </w:rPr>
              <w:t>ת הבכירה</w:t>
            </w:r>
            <w:r>
              <w:rPr>
                <w:rFonts w:ascii="David" w:hAnsi="David"/>
                <w:b/>
                <w:bCs/>
                <w:noProof/>
                <w:sz w:val="24"/>
                <w:rtl/>
              </w:rPr>
              <w:t xml:space="preserve"> על רישום מקרקעין</w:t>
            </w:r>
            <w:r w:rsidR="005F04A9">
              <w:t xml:space="preserve"> </w:t>
            </w:r>
            <w:r>
              <w:rPr>
                <w:rFonts w:ascii="David" w:hAnsi="David"/>
                <w:b/>
                <w:bCs/>
                <w:noProof/>
                <w:sz w:val="24"/>
                <w:rtl/>
              </w:rPr>
              <w:t>א</w:t>
            </w:r>
            <w:r w:rsidR="00990DAA">
              <w:rPr>
                <w:rFonts w:ascii="David" w:hAnsi="David" w:hint="cs"/>
                <w:b/>
                <w:bCs/>
                <w:noProof/>
                <w:sz w:val="24"/>
                <w:rtl/>
              </w:rPr>
              <w:t>.</w:t>
            </w:r>
            <w:r>
              <w:rPr>
                <w:rFonts w:ascii="David" w:hAnsi="David"/>
                <w:b/>
                <w:bCs/>
                <w:noProof/>
                <w:sz w:val="24"/>
                <w:rtl/>
              </w:rPr>
              <w:t xml:space="preserve"> שרייבר</w:t>
            </w:r>
          </w:p>
        </w:tc>
      </w:tr>
    </w:tbl>
    <w:p w14:paraId="528C4139" w14:textId="20964CFB" w:rsidR="00D3650D" w:rsidRPr="00107339" w:rsidRDefault="00D3650D" w:rsidP="00990DAA">
      <w:pPr>
        <w:spacing w:after="200" w:line="276" w:lineRule="auto"/>
        <w:contextualSpacing w:val="0"/>
        <w:jc w:val="center"/>
        <w:rPr>
          <w:b/>
          <w:bCs/>
          <w:color w:val="FF0000"/>
          <w:sz w:val="32"/>
          <w:szCs w:val="32"/>
          <w:rtl/>
        </w:rPr>
      </w:pPr>
    </w:p>
    <w:tbl>
      <w:tblPr>
        <w:tblStyle w:val="TableGrid1"/>
        <w:bidiVisual/>
        <w:tblW w:w="5905" w:type="pct"/>
        <w:tblInd w:w="-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1796"/>
        <w:gridCol w:w="1658"/>
        <w:gridCol w:w="691"/>
        <w:gridCol w:w="5664"/>
      </w:tblGrid>
      <w:tr w:rsidR="004F5B0D" w14:paraId="3531A1CB" w14:textId="77777777" w:rsidTr="00990DAA">
        <w:trPr>
          <w:cantSplit/>
        </w:trPr>
        <w:tc>
          <w:tcPr>
            <w:tcW w:w="916" w:type="pct"/>
          </w:tcPr>
          <w:p w14:paraId="69AF09A3" w14:textId="5691D3E3" w:rsidR="004F5B0D" w:rsidRDefault="005E2F01">
            <w:pPr>
              <w:spacing w:before="100" w:beforeAutospacing="1" w:after="100" w:afterAutospacing="1" w:line="276" w:lineRule="auto"/>
              <w:rPr>
                <w:rFonts w:ascii="David" w:hAnsi="David"/>
                <w:sz w:val="24"/>
                <w:rtl/>
              </w:rPr>
            </w:pPr>
            <w:r>
              <w:rPr>
                <w:rFonts w:ascii="David" w:hAnsi="David"/>
                <w:sz w:val="24"/>
                <w:rtl/>
              </w:rPr>
              <w:t>תובע</w:t>
            </w:r>
            <w:r w:rsidR="00C41114">
              <w:rPr>
                <w:rFonts w:ascii="David" w:hAnsi="David" w:hint="cs"/>
                <w:sz w:val="24"/>
                <w:rtl/>
              </w:rPr>
              <w:t>ת</w:t>
            </w:r>
            <w:r w:rsidR="00990DAA">
              <w:rPr>
                <w:rFonts w:ascii="David" w:hAnsi="David" w:hint="cs"/>
                <w:sz w:val="24"/>
                <w:rtl/>
              </w:rPr>
              <w:t>:</w:t>
            </w:r>
          </w:p>
        </w:tc>
        <w:tc>
          <w:tcPr>
            <w:tcW w:w="845" w:type="pct"/>
          </w:tcPr>
          <w:p w14:paraId="7B119B90" w14:textId="77777777" w:rsidR="004F5B0D" w:rsidRDefault="004F5B0D">
            <w:pPr>
              <w:spacing w:before="100" w:beforeAutospacing="1" w:after="100" w:afterAutospacing="1"/>
              <w:rPr>
                <w:rFonts w:ascii="David" w:hAnsi="David"/>
                <w:sz w:val="24"/>
              </w:rPr>
            </w:pPr>
          </w:p>
        </w:tc>
        <w:tc>
          <w:tcPr>
            <w:tcW w:w="352" w:type="pct"/>
          </w:tcPr>
          <w:p w14:paraId="6D89CBFC" w14:textId="4F53A555" w:rsidR="004F5B0D" w:rsidRDefault="004F5B0D">
            <w:pPr>
              <w:spacing w:before="100" w:beforeAutospacing="1" w:after="100" w:afterAutospacing="1"/>
              <w:rPr>
                <w:rFonts w:ascii="David" w:hAnsi="David"/>
                <w:sz w:val="24"/>
              </w:rPr>
            </w:pPr>
          </w:p>
        </w:tc>
        <w:tc>
          <w:tcPr>
            <w:tcW w:w="2887" w:type="pct"/>
          </w:tcPr>
          <w:p w14:paraId="5A63794F" w14:textId="04EF0C0E" w:rsidR="004F5B0D" w:rsidRDefault="005E2F01">
            <w:pPr>
              <w:spacing w:before="100" w:beforeAutospacing="1" w:after="100" w:afterAutospacing="1" w:line="276" w:lineRule="auto"/>
              <w:rPr>
                <w:rFonts w:ascii="David" w:hAnsi="David"/>
                <w:sz w:val="24"/>
                <w:rtl/>
              </w:rPr>
            </w:pPr>
            <w:proofErr w:type="spellStart"/>
            <w:r>
              <w:rPr>
                <w:rFonts w:ascii="David" w:hAnsi="David"/>
                <w:sz w:val="24"/>
                <w:rtl/>
              </w:rPr>
              <w:t>ברימט</w:t>
            </w:r>
            <w:proofErr w:type="spellEnd"/>
            <w:r>
              <w:rPr>
                <w:rFonts w:ascii="David" w:hAnsi="David"/>
                <w:sz w:val="24"/>
                <w:rtl/>
              </w:rPr>
              <w:t xml:space="preserve"> יהודית</w:t>
            </w:r>
          </w:p>
        </w:tc>
      </w:tr>
      <w:tr w:rsidR="004F5B0D" w14:paraId="7BBC3C41" w14:textId="77777777" w:rsidTr="00990DAA">
        <w:trPr>
          <w:cantSplit/>
        </w:trPr>
        <w:tc>
          <w:tcPr>
            <w:tcW w:w="916" w:type="pct"/>
          </w:tcPr>
          <w:p w14:paraId="4C18B745" w14:textId="77777777" w:rsidR="004F5B0D" w:rsidRDefault="004F5B0D">
            <w:pPr>
              <w:spacing w:before="100" w:beforeAutospacing="1" w:after="100" w:afterAutospacing="1" w:line="276" w:lineRule="auto"/>
              <w:rPr>
                <w:rFonts w:ascii="David" w:hAnsi="David"/>
                <w:sz w:val="24"/>
                <w:rtl/>
              </w:rPr>
            </w:pPr>
          </w:p>
        </w:tc>
        <w:tc>
          <w:tcPr>
            <w:tcW w:w="845" w:type="pct"/>
          </w:tcPr>
          <w:p w14:paraId="6B3BB9B1" w14:textId="77777777" w:rsidR="004F5B0D" w:rsidRDefault="004F5B0D">
            <w:pPr>
              <w:spacing w:before="100" w:beforeAutospacing="1" w:after="100" w:afterAutospacing="1"/>
              <w:rPr>
                <w:rFonts w:ascii="David" w:hAnsi="David"/>
                <w:sz w:val="24"/>
              </w:rPr>
            </w:pPr>
          </w:p>
        </w:tc>
        <w:tc>
          <w:tcPr>
            <w:tcW w:w="352" w:type="pct"/>
          </w:tcPr>
          <w:p w14:paraId="6D4F9D28" w14:textId="77777777" w:rsidR="004F5B0D" w:rsidRDefault="004F5B0D">
            <w:pPr>
              <w:spacing w:before="100" w:beforeAutospacing="1" w:after="100" w:afterAutospacing="1"/>
              <w:rPr>
                <w:rFonts w:ascii="David" w:hAnsi="David"/>
                <w:sz w:val="24"/>
              </w:rPr>
            </w:pPr>
          </w:p>
        </w:tc>
        <w:tc>
          <w:tcPr>
            <w:tcW w:w="2887" w:type="pct"/>
          </w:tcPr>
          <w:p w14:paraId="224CEA10" w14:textId="56FA9C19" w:rsidR="004F5B0D" w:rsidRDefault="005E2F01">
            <w:pPr>
              <w:spacing w:before="100" w:beforeAutospacing="1" w:after="100" w:afterAutospacing="1" w:line="276" w:lineRule="auto"/>
              <w:rPr>
                <w:rFonts w:ascii="David" w:hAnsi="David"/>
                <w:sz w:val="24"/>
                <w:rtl/>
              </w:rPr>
            </w:pPr>
            <w:r>
              <w:rPr>
                <w:rFonts w:ascii="David" w:hAnsi="David"/>
                <w:sz w:val="24"/>
                <w:rtl/>
              </w:rPr>
              <w:t>באמצעות ב"כ: עו"ד ברימט צבי</w:t>
            </w:r>
            <w:r>
              <w:br/>
            </w:r>
            <w:r>
              <w:br/>
            </w:r>
          </w:p>
        </w:tc>
      </w:tr>
      <w:tr w:rsidR="004F5B0D" w14:paraId="497999A4" w14:textId="77777777" w:rsidTr="00990DAA">
        <w:trPr>
          <w:cantSplit/>
        </w:trPr>
        <w:tc>
          <w:tcPr>
            <w:tcW w:w="916" w:type="pct"/>
          </w:tcPr>
          <w:p w14:paraId="7F607EA6" w14:textId="77777777" w:rsidR="004F5B0D" w:rsidRDefault="004F5B0D">
            <w:pPr>
              <w:spacing w:before="100" w:beforeAutospacing="1" w:after="100" w:afterAutospacing="1" w:line="276" w:lineRule="auto"/>
              <w:rPr>
                <w:rFonts w:ascii="David" w:hAnsi="David"/>
                <w:sz w:val="24"/>
                <w:rtl/>
              </w:rPr>
            </w:pPr>
          </w:p>
        </w:tc>
        <w:tc>
          <w:tcPr>
            <w:tcW w:w="845" w:type="pct"/>
          </w:tcPr>
          <w:p w14:paraId="33E79C05" w14:textId="77777777" w:rsidR="004F5B0D" w:rsidRDefault="004F5B0D">
            <w:pPr>
              <w:spacing w:before="100" w:beforeAutospacing="1" w:after="100" w:afterAutospacing="1"/>
              <w:rPr>
                <w:rFonts w:ascii="David" w:hAnsi="David"/>
                <w:sz w:val="24"/>
              </w:rPr>
            </w:pPr>
          </w:p>
        </w:tc>
        <w:tc>
          <w:tcPr>
            <w:tcW w:w="352" w:type="pct"/>
          </w:tcPr>
          <w:p w14:paraId="57592D14" w14:textId="77777777" w:rsidR="004F5B0D" w:rsidRDefault="005E2F01">
            <w:pPr>
              <w:spacing w:before="100" w:beforeAutospacing="1" w:after="100" w:afterAutospacing="1"/>
              <w:rPr>
                <w:rFonts w:ascii="David" w:hAnsi="David"/>
                <w:sz w:val="24"/>
              </w:rPr>
            </w:pPr>
            <w:r>
              <w:rPr>
                <w:rFonts w:ascii="David" w:hAnsi="David"/>
                <w:b/>
                <w:bCs/>
                <w:sz w:val="24"/>
                <w:rtl/>
              </w:rPr>
              <w:t>נגד</w:t>
            </w:r>
            <w:r>
              <w:br/>
            </w:r>
          </w:p>
        </w:tc>
        <w:tc>
          <w:tcPr>
            <w:tcW w:w="2887" w:type="pct"/>
          </w:tcPr>
          <w:p w14:paraId="13233A20" w14:textId="77777777" w:rsidR="004F5B0D" w:rsidRDefault="004F5B0D">
            <w:pPr>
              <w:spacing w:before="100" w:beforeAutospacing="1" w:after="100" w:afterAutospacing="1" w:line="276" w:lineRule="auto"/>
              <w:rPr>
                <w:rFonts w:ascii="David" w:hAnsi="David"/>
                <w:sz w:val="24"/>
                <w:rtl/>
              </w:rPr>
            </w:pPr>
          </w:p>
        </w:tc>
      </w:tr>
      <w:tr w:rsidR="004F5B0D" w14:paraId="20AC2D69" w14:textId="77777777" w:rsidTr="00990DAA">
        <w:trPr>
          <w:cantSplit/>
        </w:trPr>
        <w:tc>
          <w:tcPr>
            <w:tcW w:w="916" w:type="pct"/>
          </w:tcPr>
          <w:p w14:paraId="5908155F" w14:textId="337A7CC3" w:rsidR="004F5B0D" w:rsidRDefault="005E2F01">
            <w:pPr>
              <w:spacing w:before="100" w:beforeAutospacing="1" w:after="100" w:afterAutospacing="1" w:line="276" w:lineRule="auto"/>
              <w:rPr>
                <w:rFonts w:ascii="David" w:hAnsi="David"/>
                <w:sz w:val="24"/>
                <w:rtl/>
              </w:rPr>
            </w:pPr>
            <w:r>
              <w:rPr>
                <w:rFonts w:ascii="David" w:hAnsi="David"/>
                <w:sz w:val="24"/>
                <w:rtl/>
              </w:rPr>
              <w:t>נתבעים</w:t>
            </w:r>
            <w:r w:rsidR="00990DAA">
              <w:rPr>
                <w:rFonts w:ascii="David" w:hAnsi="David" w:hint="cs"/>
                <w:sz w:val="24"/>
                <w:rtl/>
              </w:rPr>
              <w:t>:</w:t>
            </w:r>
          </w:p>
        </w:tc>
        <w:tc>
          <w:tcPr>
            <w:tcW w:w="845" w:type="pct"/>
          </w:tcPr>
          <w:p w14:paraId="2628D3D3" w14:textId="77777777" w:rsidR="004F5B0D" w:rsidRDefault="004F5B0D">
            <w:pPr>
              <w:spacing w:before="100" w:beforeAutospacing="1" w:after="100" w:afterAutospacing="1"/>
              <w:rPr>
                <w:rFonts w:ascii="David" w:hAnsi="David"/>
                <w:sz w:val="24"/>
              </w:rPr>
            </w:pPr>
          </w:p>
        </w:tc>
        <w:tc>
          <w:tcPr>
            <w:tcW w:w="352" w:type="pct"/>
          </w:tcPr>
          <w:p w14:paraId="0753183A" w14:textId="77777777" w:rsidR="004F5B0D" w:rsidRDefault="005E2F01">
            <w:pPr>
              <w:spacing w:before="100" w:beforeAutospacing="1" w:after="100" w:afterAutospacing="1"/>
              <w:rPr>
                <w:rFonts w:ascii="David" w:hAnsi="David"/>
                <w:sz w:val="24"/>
              </w:rPr>
            </w:pPr>
            <w:r>
              <w:rPr>
                <w:rFonts w:ascii="David" w:hAnsi="David"/>
                <w:sz w:val="24"/>
                <w:rtl/>
              </w:rPr>
              <w:t>1</w:t>
            </w:r>
          </w:p>
        </w:tc>
        <w:tc>
          <w:tcPr>
            <w:tcW w:w="2887" w:type="pct"/>
          </w:tcPr>
          <w:p w14:paraId="19D522FE" w14:textId="61AE3140" w:rsidR="004F5B0D" w:rsidRDefault="005E2F01">
            <w:pPr>
              <w:spacing w:before="100" w:beforeAutospacing="1" w:after="100" w:afterAutospacing="1" w:line="276" w:lineRule="auto"/>
              <w:rPr>
                <w:rFonts w:ascii="David" w:hAnsi="David"/>
                <w:sz w:val="24"/>
                <w:rtl/>
              </w:rPr>
            </w:pPr>
            <w:r>
              <w:rPr>
                <w:rFonts w:ascii="David" w:hAnsi="David"/>
                <w:sz w:val="24"/>
                <w:rtl/>
              </w:rPr>
              <w:t>בוזגלו מיכאל אביחי</w:t>
            </w:r>
            <w:r>
              <w:br/>
            </w:r>
          </w:p>
        </w:tc>
      </w:tr>
      <w:tr w:rsidR="004F5B0D" w14:paraId="16891F34" w14:textId="77777777" w:rsidTr="00990DAA">
        <w:trPr>
          <w:cantSplit/>
        </w:trPr>
        <w:tc>
          <w:tcPr>
            <w:tcW w:w="916" w:type="pct"/>
          </w:tcPr>
          <w:p w14:paraId="0856E565" w14:textId="77777777" w:rsidR="004F5B0D" w:rsidRDefault="004F5B0D">
            <w:pPr>
              <w:spacing w:before="100" w:beforeAutospacing="1" w:after="100" w:afterAutospacing="1" w:line="276" w:lineRule="auto"/>
              <w:rPr>
                <w:rFonts w:ascii="David" w:hAnsi="David"/>
                <w:sz w:val="24"/>
                <w:rtl/>
              </w:rPr>
            </w:pPr>
          </w:p>
        </w:tc>
        <w:tc>
          <w:tcPr>
            <w:tcW w:w="845" w:type="pct"/>
          </w:tcPr>
          <w:p w14:paraId="08AB1BC7" w14:textId="77777777" w:rsidR="004F5B0D" w:rsidRDefault="004F5B0D">
            <w:pPr>
              <w:spacing w:before="100" w:beforeAutospacing="1" w:after="100" w:afterAutospacing="1"/>
              <w:rPr>
                <w:rFonts w:ascii="David" w:hAnsi="David"/>
                <w:sz w:val="24"/>
              </w:rPr>
            </w:pPr>
          </w:p>
        </w:tc>
        <w:tc>
          <w:tcPr>
            <w:tcW w:w="352" w:type="pct"/>
          </w:tcPr>
          <w:p w14:paraId="27554ABB" w14:textId="77777777" w:rsidR="004F5B0D" w:rsidRDefault="005E2F01">
            <w:pPr>
              <w:spacing w:before="100" w:beforeAutospacing="1" w:after="100" w:afterAutospacing="1"/>
              <w:rPr>
                <w:rFonts w:ascii="David" w:hAnsi="David"/>
                <w:sz w:val="24"/>
              </w:rPr>
            </w:pPr>
            <w:r>
              <w:rPr>
                <w:rFonts w:ascii="David" w:hAnsi="David"/>
                <w:sz w:val="24"/>
                <w:rtl/>
              </w:rPr>
              <w:t>2</w:t>
            </w:r>
          </w:p>
        </w:tc>
        <w:tc>
          <w:tcPr>
            <w:tcW w:w="2887" w:type="pct"/>
          </w:tcPr>
          <w:p w14:paraId="0E20AC92" w14:textId="72A45EFB" w:rsidR="004F5B0D" w:rsidRDefault="005E2F01" w:rsidP="00990DAA">
            <w:pPr>
              <w:spacing w:before="100" w:beforeAutospacing="1" w:after="100" w:afterAutospacing="1" w:line="276" w:lineRule="auto"/>
              <w:outlineLvl w:val="0"/>
              <w:rPr>
                <w:rFonts w:ascii="David" w:hAnsi="David"/>
                <w:sz w:val="24"/>
                <w:rtl/>
              </w:rPr>
            </w:pPr>
            <w:r>
              <w:rPr>
                <w:rFonts w:ascii="David" w:hAnsi="David"/>
                <w:sz w:val="24"/>
                <w:rtl/>
              </w:rPr>
              <w:t>בוזגלו שולמית</w:t>
            </w:r>
            <w:r>
              <w:br/>
            </w:r>
          </w:p>
        </w:tc>
      </w:tr>
      <w:tr w:rsidR="004F5B0D" w14:paraId="0E6468E0" w14:textId="77777777" w:rsidTr="00990DAA">
        <w:trPr>
          <w:cantSplit/>
        </w:trPr>
        <w:tc>
          <w:tcPr>
            <w:tcW w:w="916" w:type="pct"/>
          </w:tcPr>
          <w:p w14:paraId="257ED047" w14:textId="77777777" w:rsidR="004F5B0D" w:rsidRDefault="004F5B0D">
            <w:pPr>
              <w:spacing w:before="100" w:beforeAutospacing="1" w:after="100" w:afterAutospacing="1" w:line="276" w:lineRule="auto"/>
              <w:rPr>
                <w:rFonts w:ascii="David" w:hAnsi="David"/>
                <w:sz w:val="24"/>
                <w:rtl/>
              </w:rPr>
            </w:pPr>
          </w:p>
        </w:tc>
        <w:tc>
          <w:tcPr>
            <w:tcW w:w="845" w:type="pct"/>
          </w:tcPr>
          <w:p w14:paraId="0D090B16" w14:textId="77777777" w:rsidR="004F5B0D" w:rsidRDefault="004F5B0D">
            <w:pPr>
              <w:spacing w:before="100" w:beforeAutospacing="1" w:after="100" w:afterAutospacing="1"/>
              <w:rPr>
                <w:rFonts w:ascii="David" w:hAnsi="David"/>
                <w:sz w:val="24"/>
              </w:rPr>
            </w:pPr>
          </w:p>
        </w:tc>
        <w:tc>
          <w:tcPr>
            <w:tcW w:w="352" w:type="pct"/>
          </w:tcPr>
          <w:p w14:paraId="2EFB15EC" w14:textId="77777777" w:rsidR="004F5B0D" w:rsidRDefault="004F5B0D">
            <w:pPr>
              <w:spacing w:before="100" w:beforeAutospacing="1" w:after="100" w:afterAutospacing="1"/>
              <w:rPr>
                <w:rFonts w:ascii="David" w:hAnsi="David"/>
                <w:sz w:val="24"/>
              </w:rPr>
            </w:pPr>
          </w:p>
        </w:tc>
        <w:tc>
          <w:tcPr>
            <w:tcW w:w="2887" w:type="pct"/>
          </w:tcPr>
          <w:p w14:paraId="7184CAC9" w14:textId="1BD4769B" w:rsidR="004F5B0D" w:rsidRDefault="005E2F01">
            <w:pPr>
              <w:spacing w:before="100" w:beforeAutospacing="1" w:after="100" w:afterAutospacing="1" w:line="276" w:lineRule="auto"/>
              <w:rPr>
                <w:rFonts w:ascii="David" w:hAnsi="David"/>
                <w:sz w:val="24"/>
                <w:rtl/>
              </w:rPr>
            </w:pPr>
            <w:r>
              <w:rPr>
                <w:rFonts w:ascii="David" w:hAnsi="David"/>
                <w:sz w:val="24"/>
                <w:rtl/>
              </w:rPr>
              <w:t>באמצעות ב"כ: עו"ד מילר ישעיהו</w:t>
            </w:r>
            <w:r>
              <w:br/>
            </w:r>
          </w:p>
        </w:tc>
      </w:tr>
    </w:tbl>
    <w:p w14:paraId="3D18038F" w14:textId="77777777" w:rsidR="00850B49" w:rsidRPr="008A7D76" w:rsidRDefault="00850B49" w:rsidP="008A2AB4">
      <w:pPr>
        <w:contextualSpacing w:val="0"/>
        <w:rPr>
          <w:rFonts w:ascii="David" w:hAnsi="David"/>
          <w:sz w:val="24"/>
        </w:rPr>
      </w:pPr>
    </w:p>
    <w:p w14:paraId="1B7773EB" w14:textId="77777777" w:rsidR="00C41114" w:rsidRDefault="00C41114" w:rsidP="00990DAA">
      <w:pPr>
        <w:spacing w:before="200"/>
        <w:ind w:firstLine="720"/>
        <w:contextualSpacing w:val="0"/>
        <w:jc w:val="center"/>
        <w:outlineLvl w:val="0"/>
        <w:rPr>
          <w:rFonts w:ascii="David" w:hAnsi="David"/>
          <w:b/>
          <w:bCs/>
          <w:sz w:val="32"/>
          <w:szCs w:val="32"/>
          <w:u w:val="single"/>
          <w:rtl/>
        </w:rPr>
      </w:pPr>
      <w:r>
        <w:rPr>
          <w:rFonts w:ascii="David" w:hAnsi="David"/>
          <w:b/>
          <w:bCs/>
          <w:noProof/>
          <w:sz w:val="24"/>
          <w:szCs w:val="32"/>
          <w:u w:val="single"/>
          <w:rtl/>
        </w:rPr>
        <w:t>פסק דין</w:t>
      </w:r>
    </w:p>
    <w:p w14:paraId="50A6AFF9" w14:textId="77777777" w:rsidR="00C41114" w:rsidRPr="008A7D76" w:rsidRDefault="00C41114" w:rsidP="00C41114">
      <w:pPr>
        <w:spacing w:before="200"/>
        <w:ind w:firstLine="720"/>
        <w:contextualSpacing w:val="0"/>
        <w:jc w:val="center"/>
        <w:rPr>
          <w:rFonts w:ascii="David" w:hAnsi="David"/>
          <w:b/>
          <w:bCs/>
          <w:sz w:val="32"/>
          <w:szCs w:val="32"/>
          <w:u w:val="single"/>
          <w:rtl/>
        </w:rPr>
      </w:pPr>
    </w:p>
    <w:p w14:paraId="25B9C6BD" w14:textId="77777777" w:rsidR="00C41114" w:rsidRPr="00C41114" w:rsidRDefault="00C41114" w:rsidP="00C41114">
      <w:pPr>
        <w:spacing w:line="360" w:lineRule="auto"/>
        <w:jc w:val="both"/>
        <w:rPr>
          <w:rFonts w:ascii="David" w:hAnsi="David"/>
          <w:sz w:val="26"/>
          <w:szCs w:val="26"/>
          <w:rtl/>
        </w:rPr>
      </w:pPr>
      <w:r w:rsidRPr="00C41114">
        <w:rPr>
          <w:rFonts w:ascii="David" w:hAnsi="David"/>
          <w:sz w:val="26"/>
          <w:szCs w:val="26"/>
          <w:rtl/>
        </w:rPr>
        <w:t xml:space="preserve">עניינו של פסק דין זה הוא השאלה האם שימוש בגג משותף, שהגישה אליו מדירת הנתבעים בלבד, הכולל בניית פרגולה, מטבח חצר, ברזים, והצבת חפצים על הגג המשותף, מהווה שימוש ייחודי של הנתבעים בגג משותף שניתן להפסיקו בכל עת. </w:t>
      </w:r>
    </w:p>
    <w:p w14:paraId="630A0DFC" w14:textId="77777777" w:rsidR="00C41114" w:rsidRPr="00C41114" w:rsidRDefault="00C41114" w:rsidP="00C41114">
      <w:pPr>
        <w:spacing w:line="360" w:lineRule="auto"/>
        <w:jc w:val="both"/>
        <w:rPr>
          <w:rFonts w:ascii="David" w:hAnsi="David"/>
          <w:sz w:val="26"/>
          <w:szCs w:val="26"/>
          <w:rtl/>
        </w:rPr>
      </w:pPr>
    </w:p>
    <w:p w14:paraId="13C767C6" w14:textId="77777777" w:rsidR="00C41114" w:rsidRPr="00C41114" w:rsidRDefault="00C41114" w:rsidP="00C41114">
      <w:pPr>
        <w:pStyle w:val="ac"/>
        <w:numPr>
          <w:ilvl w:val="0"/>
          <w:numId w:val="15"/>
        </w:numPr>
        <w:spacing w:line="360" w:lineRule="auto"/>
        <w:jc w:val="both"/>
        <w:rPr>
          <w:rFonts w:ascii="David" w:hAnsi="David"/>
          <w:sz w:val="26"/>
          <w:szCs w:val="26"/>
          <w:rtl/>
        </w:rPr>
      </w:pPr>
      <w:r w:rsidRPr="00C41114">
        <w:rPr>
          <w:rFonts w:ascii="David" w:hAnsi="David"/>
          <w:sz w:val="26"/>
          <w:szCs w:val="26"/>
          <w:rtl/>
        </w:rPr>
        <w:t xml:space="preserve">הצדדים הם בעלי דירות בבית המשותף ברחוב אליהו מרידור 33 בירושלים הידוע כגוש 30599 חלקה 32 (להלן – הבית המשותף). בבית המשותף 4 דירות, 2 דירות גן, ומעליהן 2 דירות נוספות. לכל אחת מהדירות כניסה נפרדת. דירות הצדדים להליך זה הן בצד הימני של הבית המשותף. דירת הנתבעים נמצאת מעל דירת התובעת. לבית המשותף תקנון מוסכם, המתייחס בין היתר לכך שלדירות בקומת הקרקע קיימת חצר צמודה, ולדירות העליונות קיימות 3 מרפסות לא מקורות בשטח של 31.60 מ"ר. </w:t>
      </w:r>
    </w:p>
    <w:p w14:paraId="63E4C7A2" w14:textId="77777777" w:rsidR="00C41114" w:rsidRPr="00C41114" w:rsidRDefault="00C41114" w:rsidP="00C41114">
      <w:pPr>
        <w:spacing w:line="360" w:lineRule="auto"/>
        <w:jc w:val="both"/>
        <w:rPr>
          <w:rFonts w:ascii="David" w:hAnsi="David"/>
          <w:sz w:val="26"/>
          <w:szCs w:val="26"/>
          <w:rtl/>
        </w:rPr>
      </w:pPr>
    </w:p>
    <w:p w14:paraId="5ACB6E3D" w14:textId="77777777" w:rsidR="00C41114" w:rsidRPr="00C41114" w:rsidRDefault="00C41114" w:rsidP="00C41114">
      <w:pPr>
        <w:pStyle w:val="ac"/>
        <w:numPr>
          <w:ilvl w:val="0"/>
          <w:numId w:val="15"/>
        </w:numPr>
        <w:spacing w:line="360" w:lineRule="auto"/>
        <w:jc w:val="both"/>
        <w:rPr>
          <w:rFonts w:ascii="David" w:hAnsi="David"/>
          <w:sz w:val="26"/>
          <w:szCs w:val="26"/>
        </w:rPr>
      </w:pPr>
      <w:r w:rsidRPr="00C41114">
        <w:rPr>
          <w:rFonts w:ascii="David" w:hAnsi="David"/>
          <w:sz w:val="26"/>
          <w:szCs w:val="26"/>
          <w:u w:val="single"/>
          <w:rtl/>
        </w:rPr>
        <w:t>לטענת התובעת</w:t>
      </w:r>
      <w:r w:rsidRPr="00C41114">
        <w:rPr>
          <w:rFonts w:ascii="David" w:hAnsi="David"/>
          <w:sz w:val="26"/>
          <w:szCs w:val="26"/>
          <w:rtl/>
        </w:rPr>
        <w:t xml:space="preserve">, בתמצית, כשלוש שנים לפני הגשת התביעה החלו הנתבעים לבצע עבודות על גג הבית המשותף והציבו מתקנים באופן לא חוקי על הגג תוך סיכון ממשי של התובעת ושל בעלה ז"ל. המתקנים הוצבו לשימושם הייחודי של הנתבעים, וכוללים ג'קוזי, מעקות וגדרות, ציוד בישול, ציוד אלקטרוני, רמקולים </w:t>
      </w:r>
      <w:proofErr w:type="spellStart"/>
      <w:r w:rsidRPr="00C41114">
        <w:rPr>
          <w:rFonts w:ascii="David" w:hAnsi="David"/>
          <w:sz w:val="26"/>
          <w:szCs w:val="26"/>
          <w:rtl/>
        </w:rPr>
        <w:t>וכיוצ"ב</w:t>
      </w:r>
      <w:proofErr w:type="spellEnd"/>
      <w:r w:rsidRPr="00C41114">
        <w:rPr>
          <w:rFonts w:ascii="David" w:hAnsi="David"/>
          <w:sz w:val="26"/>
          <w:szCs w:val="26"/>
          <w:rtl/>
        </w:rPr>
        <w:t xml:space="preserve">. </w:t>
      </w:r>
    </w:p>
    <w:p w14:paraId="4950F293" w14:textId="77777777" w:rsidR="00C41114" w:rsidRPr="00C41114" w:rsidRDefault="00C41114" w:rsidP="00C41114">
      <w:pPr>
        <w:pStyle w:val="ac"/>
        <w:spacing w:line="360" w:lineRule="auto"/>
        <w:rPr>
          <w:rFonts w:ascii="David" w:hAnsi="David"/>
          <w:sz w:val="26"/>
          <w:szCs w:val="26"/>
          <w:rtl/>
        </w:rPr>
      </w:pPr>
    </w:p>
    <w:p w14:paraId="4176D821" w14:textId="77777777" w:rsidR="00C41114" w:rsidRPr="00C41114" w:rsidRDefault="00C41114" w:rsidP="00C41114">
      <w:pPr>
        <w:pStyle w:val="ac"/>
        <w:spacing w:line="360" w:lineRule="auto"/>
        <w:jc w:val="both"/>
        <w:rPr>
          <w:rFonts w:ascii="David" w:hAnsi="David"/>
          <w:sz w:val="26"/>
          <w:szCs w:val="26"/>
          <w:rtl/>
        </w:rPr>
      </w:pPr>
      <w:r w:rsidRPr="00C41114">
        <w:rPr>
          <w:rFonts w:ascii="David" w:hAnsi="David"/>
          <w:sz w:val="26"/>
          <w:szCs w:val="26"/>
          <w:rtl/>
        </w:rPr>
        <w:lastRenderedPageBreak/>
        <w:t xml:space="preserve">האמור הוצב ללא פיקוח ותוך שהבניה מסכנת את חיי התובעת, כך למשל, חלק מגדר שנבנתה על הגג נפלה בזמן שבעלה המנו של התובעת ישב החצר, בסמוך אליו באופן שעלול היה לגרום לפציעה קשה. </w:t>
      </w:r>
    </w:p>
    <w:p w14:paraId="074E44F4" w14:textId="77777777" w:rsidR="00C41114" w:rsidRPr="00C41114" w:rsidRDefault="00C41114" w:rsidP="00C41114">
      <w:pPr>
        <w:pStyle w:val="ac"/>
        <w:spacing w:line="360" w:lineRule="auto"/>
        <w:jc w:val="both"/>
        <w:rPr>
          <w:rFonts w:ascii="David" w:hAnsi="David"/>
          <w:sz w:val="26"/>
          <w:szCs w:val="26"/>
          <w:rtl/>
        </w:rPr>
      </w:pPr>
      <w:r w:rsidRPr="00C41114">
        <w:rPr>
          <w:rFonts w:ascii="David" w:hAnsi="David"/>
          <w:sz w:val="26"/>
          <w:szCs w:val="26"/>
          <w:rtl/>
        </w:rPr>
        <w:t xml:space="preserve">נוסף על כך חלק מהמזגנים שהותקנו על הגג או בדירת הנתבעים מטפטפים אל שטח הגינה של התובעת. </w:t>
      </w:r>
    </w:p>
    <w:p w14:paraId="60B80BBF" w14:textId="77777777" w:rsidR="00C41114" w:rsidRPr="00C41114" w:rsidRDefault="00C41114" w:rsidP="00C41114">
      <w:pPr>
        <w:pStyle w:val="ac"/>
        <w:spacing w:line="360" w:lineRule="auto"/>
        <w:jc w:val="both"/>
        <w:rPr>
          <w:rFonts w:ascii="David" w:hAnsi="David"/>
          <w:sz w:val="26"/>
          <w:szCs w:val="26"/>
          <w:rtl/>
        </w:rPr>
      </w:pPr>
    </w:p>
    <w:p w14:paraId="0FA786B1" w14:textId="77777777" w:rsidR="00C41114" w:rsidRPr="00C41114" w:rsidRDefault="00C41114" w:rsidP="00C41114">
      <w:pPr>
        <w:pStyle w:val="ac"/>
        <w:spacing w:line="360" w:lineRule="auto"/>
        <w:jc w:val="both"/>
        <w:rPr>
          <w:rFonts w:ascii="David" w:hAnsi="David"/>
          <w:sz w:val="26"/>
          <w:szCs w:val="26"/>
          <w:rtl/>
        </w:rPr>
      </w:pPr>
      <w:r w:rsidRPr="00C41114">
        <w:rPr>
          <w:rFonts w:ascii="David" w:hAnsi="David"/>
          <w:sz w:val="26"/>
          <w:szCs w:val="26"/>
          <w:rtl/>
        </w:rPr>
        <w:t xml:space="preserve">במסגרת עבודות הבניה הזיזו הנתבעים קולטים אנטנות וציוד שהיו על הגג המשותף ללא תיאום. </w:t>
      </w:r>
    </w:p>
    <w:p w14:paraId="28E6E1C9" w14:textId="77777777" w:rsidR="00C41114" w:rsidRPr="00C41114" w:rsidRDefault="00C41114" w:rsidP="00C41114">
      <w:pPr>
        <w:pStyle w:val="ac"/>
        <w:spacing w:line="360" w:lineRule="auto"/>
        <w:jc w:val="both"/>
        <w:rPr>
          <w:rFonts w:ascii="David" w:hAnsi="David"/>
          <w:sz w:val="26"/>
          <w:szCs w:val="26"/>
          <w:rtl/>
        </w:rPr>
      </w:pPr>
    </w:p>
    <w:p w14:paraId="3C709950" w14:textId="77777777" w:rsidR="00C41114" w:rsidRPr="00C41114" w:rsidRDefault="00C41114" w:rsidP="00C41114">
      <w:pPr>
        <w:pStyle w:val="ac"/>
        <w:spacing w:line="360" w:lineRule="auto"/>
        <w:jc w:val="both"/>
        <w:rPr>
          <w:rFonts w:ascii="David" w:hAnsi="David"/>
          <w:sz w:val="26"/>
          <w:szCs w:val="26"/>
          <w:rtl/>
        </w:rPr>
      </w:pPr>
      <w:r w:rsidRPr="00C41114">
        <w:rPr>
          <w:rFonts w:ascii="David" w:hAnsi="David"/>
          <w:sz w:val="26"/>
          <w:szCs w:val="26"/>
          <w:rtl/>
        </w:rPr>
        <w:t xml:space="preserve">בתקרת הקומה השנייה של דירת התובעת הופיעו כתמי רטיבות ממתקני הנתבעים. </w:t>
      </w:r>
    </w:p>
    <w:p w14:paraId="46B65BDE" w14:textId="77777777" w:rsidR="00C41114" w:rsidRPr="00C41114" w:rsidRDefault="00C41114" w:rsidP="00C41114">
      <w:pPr>
        <w:pStyle w:val="ac"/>
        <w:spacing w:line="360" w:lineRule="auto"/>
        <w:jc w:val="both"/>
        <w:rPr>
          <w:rFonts w:ascii="David" w:hAnsi="David"/>
          <w:sz w:val="26"/>
          <w:szCs w:val="26"/>
          <w:rtl/>
        </w:rPr>
      </w:pPr>
    </w:p>
    <w:p w14:paraId="5CEF2A44" w14:textId="77777777" w:rsidR="00C41114" w:rsidRPr="00C41114" w:rsidRDefault="00C41114" w:rsidP="00C41114">
      <w:pPr>
        <w:pStyle w:val="ac"/>
        <w:spacing w:line="360" w:lineRule="auto"/>
        <w:jc w:val="both"/>
        <w:rPr>
          <w:rFonts w:ascii="David" w:hAnsi="David"/>
          <w:sz w:val="26"/>
          <w:szCs w:val="26"/>
          <w:rtl/>
        </w:rPr>
      </w:pPr>
      <w:r w:rsidRPr="00C41114">
        <w:rPr>
          <w:rFonts w:ascii="David" w:hAnsi="David"/>
          <w:sz w:val="26"/>
          <w:szCs w:val="26"/>
          <w:rtl/>
        </w:rPr>
        <w:t xml:space="preserve">הנתבעים מארחים על הגג עשרות אנשים לעיתים קרובות וגורמים רעש ומטרד מרובים, המונעים מהתובעת להתנהל באופן סביר בביתה. </w:t>
      </w:r>
    </w:p>
    <w:p w14:paraId="5E354BA4" w14:textId="77777777" w:rsidR="00C41114" w:rsidRPr="00C41114" w:rsidRDefault="00C41114" w:rsidP="00C41114">
      <w:pPr>
        <w:pStyle w:val="ac"/>
        <w:spacing w:line="360" w:lineRule="auto"/>
        <w:jc w:val="both"/>
        <w:rPr>
          <w:rFonts w:ascii="David" w:hAnsi="David"/>
          <w:sz w:val="26"/>
          <w:szCs w:val="26"/>
          <w:rtl/>
        </w:rPr>
      </w:pPr>
    </w:p>
    <w:p w14:paraId="3DA3C3B8" w14:textId="77777777" w:rsidR="00C41114" w:rsidRPr="00C41114" w:rsidRDefault="00C41114" w:rsidP="00C41114">
      <w:pPr>
        <w:pStyle w:val="ac"/>
        <w:spacing w:line="360" w:lineRule="auto"/>
        <w:jc w:val="both"/>
        <w:rPr>
          <w:rFonts w:ascii="David" w:hAnsi="David"/>
          <w:sz w:val="26"/>
          <w:szCs w:val="26"/>
          <w:rtl/>
        </w:rPr>
      </w:pPr>
      <w:r w:rsidRPr="00C41114">
        <w:rPr>
          <w:rFonts w:ascii="David" w:hAnsi="David"/>
          <w:sz w:val="26"/>
          <w:szCs w:val="26"/>
          <w:rtl/>
        </w:rPr>
        <w:t xml:space="preserve">ביום 2.8.2024 החלו הנתבעים בבניית קונסטרוקציית ברזל על הגג ולאחר מכן אף הפרו צווים שנתנו על ידי מותב זה באשר להמשך הבניה. הגדר שבנו הנתבעים היא בגובה של למעלה מ1.40 מ' מהרצפה בניגוד לצו הזמני שניתן. </w:t>
      </w:r>
    </w:p>
    <w:p w14:paraId="4E984E52" w14:textId="77777777" w:rsidR="00C41114" w:rsidRPr="00C41114" w:rsidRDefault="00C41114" w:rsidP="00C41114">
      <w:pPr>
        <w:pStyle w:val="ac"/>
        <w:spacing w:line="360" w:lineRule="auto"/>
        <w:jc w:val="both"/>
        <w:rPr>
          <w:rFonts w:ascii="David" w:hAnsi="David"/>
          <w:sz w:val="26"/>
          <w:szCs w:val="26"/>
          <w:rtl/>
        </w:rPr>
      </w:pPr>
    </w:p>
    <w:p w14:paraId="44018FE2" w14:textId="77777777" w:rsidR="00C41114" w:rsidRPr="00C41114" w:rsidRDefault="00C41114" w:rsidP="00C41114">
      <w:pPr>
        <w:pStyle w:val="ac"/>
        <w:spacing w:line="360" w:lineRule="auto"/>
        <w:jc w:val="both"/>
        <w:rPr>
          <w:rFonts w:ascii="David" w:hAnsi="David"/>
          <w:sz w:val="26"/>
          <w:szCs w:val="26"/>
          <w:rtl/>
        </w:rPr>
      </w:pPr>
      <w:r w:rsidRPr="00C41114">
        <w:rPr>
          <w:rFonts w:ascii="David" w:hAnsi="David"/>
          <w:sz w:val="26"/>
          <w:szCs w:val="26"/>
          <w:rtl/>
        </w:rPr>
        <w:t xml:space="preserve">ייעודו של הגג המשותף הוא לכל היותר לשימוש למתקנים משותפים ולהתקנת מערכות שונות משותפות ופרטיות. </w:t>
      </w:r>
    </w:p>
    <w:p w14:paraId="0AF9A0C1" w14:textId="77777777" w:rsidR="00C41114" w:rsidRPr="00C41114" w:rsidRDefault="00C41114" w:rsidP="00C41114">
      <w:pPr>
        <w:pStyle w:val="ac"/>
        <w:spacing w:line="360" w:lineRule="auto"/>
        <w:jc w:val="both"/>
        <w:rPr>
          <w:rFonts w:ascii="David" w:hAnsi="David"/>
          <w:sz w:val="26"/>
          <w:szCs w:val="26"/>
          <w:rtl/>
        </w:rPr>
      </w:pPr>
    </w:p>
    <w:p w14:paraId="2598C2D0" w14:textId="77777777" w:rsidR="00C41114" w:rsidRPr="00C41114" w:rsidRDefault="00C41114" w:rsidP="00C41114">
      <w:pPr>
        <w:pStyle w:val="ac"/>
        <w:spacing w:line="360" w:lineRule="auto"/>
        <w:jc w:val="both"/>
        <w:rPr>
          <w:rFonts w:ascii="David" w:hAnsi="David"/>
          <w:sz w:val="26"/>
          <w:szCs w:val="26"/>
          <w:rtl/>
        </w:rPr>
      </w:pPr>
      <w:r w:rsidRPr="00C41114">
        <w:rPr>
          <w:rFonts w:ascii="David" w:hAnsi="David"/>
          <w:sz w:val="26"/>
          <w:szCs w:val="26"/>
          <w:rtl/>
        </w:rPr>
        <w:t xml:space="preserve">לבעל דירה אסור לבצע שינויים הפוגעים ברכוש המשותף. לא די בהסכמת 2 בעלי הדירות הנוספים בבית המשותף כדי להכשיר את מעשי הנתבעים, שכן מדובר בבעלי דירות בחלק האחר של הבית המשותף, ונוסח כתב ההסכמה שצורף על ידיהם מבהיר שמכיוון שהגישה לגג היא רק דרך דירת הנתבעים אין בשימוש בגג כדי לגרוע מהשימוש שלהם בגג האמור. </w:t>
      </w:r>
    </w:p>
    <w:p w14:paraId="70766FF7" w14:textId="77777777" w:rsidR="00C41114" w:rsidRPr="00C41114" w:rsidRDefault="00C41114" w:rsidP="00C41114">
      <w:pPr>
        <w:pStyle w:val="ac"/>
        <w:spacing w:line="360" w:lineRule="auto"/>
        <w:jc w:val="both"/>
        <w:rPr>
          <w:rFonts w:ascii="David" w:hAnsi="David"/>
          <w:sz w:val="26"/>
          <w:szCs w:val="26"/>
          <w:rtl/>
        </w:rPr>
      </w:pPr>
    </w:p>
    <w:p w14:paraId="0AB23EBC" w14:textId="77777777" w:rsidR="00C41114" w:rsidRPr="00C41114" w:rsidRDefault="00C41114" w:rsidP="00C41114">
      <w:pPr>
        <w:pStyle w:val="ac"/>
        <w:spacing w:line="360" w:lineRule="auto"/>
        <w:jc w:val="both"/>
        <w:rPr>
          <w:rFonts w:ascii="David" w:hAnsi="David"/>
          <w:sz w:val="26"/>
          <w:szCs w:val="26"/>
        </w:rPr>
      </w:pPr>
      <w:r w:rsidRPr="00C41114">
        <w:rPr>
          <w:rFonts w:ascii="David" w:hAnsi="David"/>
          <w:sz w:val="26"/>
          <w:szCs w:val="26"/>
          <w:rtl/>
        </w:rPr>
        <w:t xml:space="preserve">החלטת רוב כאמור יכולה להיות במסגרת ניהול ושימוש רגיל במקרקעין, ואינה יכולה לקפח את המיעוט. השימוש הייחודי שעושים הנתבעים בגג הוא הצמדה בפועל של הגג לדירתם. על פי ההלכה הפסוקה מי שנפגע עקב הקמת מבנה ללא היתר או על פי היתר שאינו חוקי זכאי לסעד אף אם הפגיעה אינה מגיעה כדי מטרד. </w:t>
      </w:r>
    </w:p>
    <w:p w14:paraId="731D6A44" w14:textId="77777777" w:rsidR="00C41114" w:rsidRPr="00C41114" w:rsidRDefault="00C41114" w:rsidP="00C41114">
      <w:pPr>
        <w:pStyle w:val="ac"/>
        <w:spacing w:line="360" w:lineRule="auto"/>
        <w:jc w:val="both"/>
        <w:rPr>
          <w:rFonts w:ascii="David" w:hAnsi="David"/>
          <w:sz w:val="26"/>
          <w:szCs w:val="26"/>
        </w:rPr>
      </w:pPr>
    </w:p>
    <w:p w14:paraId="4A82A6D7" w14:textId="77777777" w:rsidR="00C41114" w:rsidRPr="00C41114" w:rsidRDefault="00C41114" w:rsidP="00C41114">
      <w:pPr>
        <w:pStyle w:val="ac"/>
        <w:numPr>
          <w:ilvl w:val="0"/>
          <w:numId w:val="15"/>
        </w:numPr>
        <w:spacing w:line="360" w:lineRule="auto"/>
        <w:jc w:val="both"/>
        <w:rPr>
          <w:rFonts w:ascii="David" w:hAnsi="David"/>
          <w:sz w:val="26"/>
          <w:szCs w:val="26"/>
        </w:rPr>
      </w:pPr>
      <w:r w:rsidRPr="00C41114">
        <w:rPr>
          <w:rFonts w:ascii="David" w:hAnsi="David"/>
          <w:sz w:val="26"/>
          <w:szCs w:val="26"/>
          <w:u w:val="single"/>
          <w:rtl/>
        </w:rPr>
        <w:t>לטענת הנתבעים</w:t>
      </w:r>
      <w:r w:rsidRPr="00C41114">
        <w:rPr>
          <w:rFonts w:ascii="David" w:hAnsi="David"/>
          <w:sz w:val="26"/>
          <w:szCs w:val="26"/>
          <w:rtl/>
        </w:rPr>
        <w:t xml:space="preserve">, בתמצית, מלכתחילה הגישה לגג הייתה מדירתם בלבד. במשך 24 השנים האחרונות מאז רכשה התובעת את דירתה, עלתה לגג פעמים בודדות בלבד. בכל פעם שביקשה לעלות לגג פתחו הנתבעים את דלת ביתם בשמחה ואפשרו כניסה לגג המשותף. </w:t>
      </w:r>
    </w:p>
    <w:p w14:paraId="114774ED" w14:textId="77777777" w:rsidR="00C41114" w:rsidRPr="00C41114" w:rsidRDefault="00C41114" w:rsidP="00C41114">
      <w:pPr>
        <w:pStyle w:val="ac"/>
        <w:spacing w:line="360" w:lineRule="auto"/>
        <w:jc w:val="both"/>
        <w:rPr>
          <w:rFonts w:ascii="David" w:hAnsi="David"/>
          <w:sz w:val="26"/>
          <w:szCs w:val="26"/>
          <w:rtl/>
        </w:rPr>
      </w:pPr>
    </w:p>
    <w:p w14:paraId="7D5D745F" w14:textId="77777777" w:rsidR="00C41114" w:rsidRPr="00C41114" w:rsidRDefault="00C41114" w:rsidP="00C41114">
      <w:pPr>
        <w:pStyle w:val="ac"/>
        <w:spacing w:line="360" w:lineRule="auto"/>
        <w:jc w:val="both"/>
        <w:rPr>
          <w:rFonts w:ascii="David" w:hAnsi="David"/>
          <w:sz w:val="26"/>
          <w:szCs w:val="26"/>
          <w:rtl/>
        </w:rPr>
      </w:pPr>
      <w:r w:rsidRPr="00C41114">
        <w:rPr>
          <w:rFonts w:ascii="David" w:hAnsi="David"/>
          <w:sz w:val="26"/>
          <w:szCs w:val="26"/>
          <w:rtl/>
        </w:rPr>
        <w:t xml:space="preserve">לנתבעים מרפסת רחבת ידיים ואין להם צורך ממשי בגג המשותף, אך מטעמי נוחות עשו בו שימוש אקראי, בידיעת בעלי הדירות ובהסכמתם, חלקם בהסכמה מפורשת וחלקם בהסכמה שבשתיקה. </w:t>
      </w:r>
    </w:p>
    <w:p w14:paraId="05465D45" w14:textId="77777777" w:rsidR="00C41114" w:rsidRPr="00C41114" w:rsidRDefault="00C41114" w:rsidP="00C41114">
      <w:pPr>
        <w:pStyle w:val="ac"/>
        <w:spacing w:line="360" w:lineRule="auto"/>
        <w:jc w:val="both"/>
        <w:rPr>
          <w:rFonts w:ascii="David" w:hAnsi="David"/>
          <w:sz w:val="26"/>
          <w:szCs w:val="26"/>
          <w:rtl/>
        </w:rPr>
      </w:pPr>
    </w:p>
    <w:p w14:paraId="7774E42C" w14:textId="77777777" w:rsidR="00C41114" w:rsidRPr="00C41114" w:rsidRDefault="00C41114" w:rsidP="00C41114">
      <w:pPr>
        <w:pStyle w:val="ac"/>
        <w:spacing w:line="360" w:lineRule="auto"/>
        <w:jc w:val="both"/>
        <w:rPr>
          <w:rFonts w:ascii="David" w:hAnsi="David"/>
          <w:sz w:val="26"/>
          <w:szCs w:val="26"/>
          <w:rtl/>
        </w:rPr>
      </w:pPr>
      <w:r w:rsidRPr="00C41114">
        <w:rPr>
          <w:rFonts w:ascii="David" w:hAnsi="David"/>
          <w:sz w:val="26"/>
          <w:szCs w:val="26"/>
          <w:rtl/>
        </w:rPr>
        <w:t xml:space="preserve">הנתבעים אף לקחו על עצמם את אחזקת הגג המשותף, ובכלל זאת נשאו בהוצאות איטום הגג, והחליפו מעקה מתפורר. </w:t>
      </w:r>
    </w:p>
    <w:p w14:paraId="5A627075" w14:textId="77777777" w:rsidR="00C41114" w:rsidRPr="00C41114" w:rsidRDefault="00C41114" w:rsidP="00C41114">
      <w:pPr>
        <w:pStyle w:val="ac"/>
        <w:spacing w:line="360" w:lineRule="auto"/>
        <w:jc w:val="both"/>
        <w:rPr>
          <w:rFonts w:ascii="David" w:hAnsi="David"/>
          <w:sz w:val="26"/>
          <w:szCs w:val="26"/>
          <w:rtl/>
        </w:rPr>
      </w:pPr>
    </w:p>
    <w:p w14:paraId="0D8117BE" w14:textId="77777777" w:rsidR="00C41114" w:rsidRPr="00C41114" w:rsidRDefault="00C41114" w:rsidP="00C41114">
      <w:pPr>
        <w:pStyle w:val="ac"/>
        <w:spacing w:line="360" w:lineRule="auto"/>
        <w:jc w:val="both"/>
        <w:rPr>
          <w:rFonts w:ascii="David" w:hAnsi="David"/>
          <w:sz w:val="26"/>
          <w:szCs w:val="26"/>
          <w:rtl/>
        </w:rPr>
      </w:pPr>
      <w:r w:rsidRPr="00C41114">
        <w:rPr>
          <w:rFonts w:ascii="David" w:hAnsi="David"/>
          <w:sz w:val="26"/>
          <w:szCs w:val="26"/>
          <w:rtl/>
        </w:rPr>
        <w:t xml:space="preserve">חמש שנים לפני הגשת כתב התביעה בנו פרגולה מעץ ולא נשמעה התנגדות. </w:t>
      </w:r>
    </w:p>
    <w:p w14:paraId="2C788255" w14:textId="77777777" w:rsidR="00C41114" w:rsidRPr="00C41114" w:rsidRDefault="00C41114" w:rsidP="00C41114">
      <w:pPr>
        <w:pStyle w:val="ac"/>
        <w:spacing w:line="360" w:lineRule="auto"/>
        <w:jc w:val="both"/>
        <w:rPr>
          <w:rFonts w:ascii="David" w:hAnsi="David"/>
          <w:sz w:val="26"/>
          <w:szCs w:val="26"/>
          <w:rtl/>
        </w:rPr>
      </w:pPr>
    </w:p>
    <w:p w14:paraId="262CB419" w14:textId="77777777" w:rsidR="00C41114" w:rsidRPr="00C41114" w:rsidRDefault="00C41114" w:rsidP="00C41114">
      <w:pPr>
        <w:pStyle w:val="ac"/>
        <w:spacing w:line="360" w:lineRule="auto"/>
        <w:jc w:val="both"/>
        <w:rPr>
          <w:rFonts w:ascii="David" w:hAnsi="David"/>
          <w:sz w:val="26"/>
          <w:szCs w:val="26"/>
          <w:rtl/>
        </w:rPr>
      </w:pPr>
      <w:r w:rsidRPr="00C41114">
        <w:rPr>
          <w:rFonts w:ascii="David" w:hAnsi="David"/>
          <w:sz w:val="26"/>
          <w:szCs w:val="26"/>
          <w:rtl/>
        </w:rPr>
        <w:t>הנתבעים הציעו מתווה פשרה אולם הצעתם נענתה בשלילה, אף שהמתווה משפר את מצב התובעת, מה שמראה שטענות התובעת נובעות אך ורק מצרות עין ומידת סדום.</w:t>
      </w:r>
    </w:p>
    <w:p w14:paraId="1C05E5EC" w14:textId="77777777" w:rsidR="00C41114" w:rsidRPr="00C41114" w:rsidRDefault="00C41114" w:rsidP="00C41114">
      <w:pPr>
        <w:pStyle w:val="ac"/>
        <w:spacing w:line="360" w:lineRule="auto"/>
        <w:jc w:val="both"/>
        <w:rPr>
          <w:rFonts w:ascii="David" w:hAnsi="David"/>
          <w:sz w:val="26"/>
          <w:szCs w:val="26"/>
          <w:rtl/>
        </w:rPr>
      </w:pPr>
    </w:p>
    <w:p w14:paraId="2952431C" w14:textId="77777777" w:rsidR="00C41114" w:rsidRPr="00C41114" w:rsidRDefault="00C41114" w:rsidP="00C41114">
      <w:pPr>
        <w:pStyle w:val="ac"/>
        <w:spacing w:line="360" w:lineRule="auto"/>
        <w:jc w:val="both"/>
        <w:rPr>
          <w:rFonts w:ascii="David" w:hAnsi="David"/>
          <w:sz w:val="26"/>
          <w:szCs w:val="26"/>
          <w:rtl/>
        </w:rPr>
      </w:pPr>
      <w:r w:rsidRPr="00C41114">
        <w:rPr>
          <w:rFonts w:ascii="David" w:hAnsi="David"/>
          <w:sz w:val="26"/>
          <w:szCs w:val="26"/>
          <w:rtl/>
        </w:rPr>
        <w:t xml:space="preserve">75% מבעלי הדירות בבית המשותף מסכימים לשימוש האמור. </w:t>
      </w:r>
    </w:p>
    <w:p w14:paraId="53E561BC" w14:textId="77777777" w:rsidR="00C41114" w:rsidRPr="00C41114" w:rsidRDefault="00C41114" w:rsidP="00C41114">
      <w:pPr>
        <w:pStyle w:val="ac"/>
        <w:spacing w:line="360" w:lineRule="auto"/>
        <w:jc w:val="both"/>
        <w:rPr>
          <w:rFonts w:ascii="David" w:hAnsi="David"/>
          <w:sz w:val="26"/>
          <w:szCs w:val="26"/>
          <w:rtl/>
        </w:rPr>
      </w:pPr>
    </w:p>
    <w:p w14:paraId="21E35DF6" w14:textId="77777777" w:rsidR="00C41114" w:rsidRPr="00C41114" w:rsidRDefault="00C41114" w:rsidP="00C41114">
      <w:pPr>
        <w:pStyle w:val="ac"/>
        <w:spacing w:line="360" w:lineRule="auto"/>
        <w:jc w:val="both"/>
        <w:rPr>
          <w:rFonts w:ascii="David" w:hAnsi="David"/>
          <w:sz w:val="26"/>
          <w:szCs w:val="26"/>
          <w:rtl/>
        </w:rPr>
      </w:pPr>
      <w:r w:rsidRPr="00C41114">
        <w:rPr>
          <w:rFonts w:ascii="David" w:hAnsi="David"/>
          <w:sz w:val="26"/>
          <w:szCs w:val="26"/>
          <w:rtl/>
        </w:rPr>
        <w:t xml:space="preserve">שימוש ייחודי ברכוש משותף כעולה מהפסיקה הוא שימוש לצמיתות המונע מבעלי דירות אחרים לעשות שימוש דומה ברכוש המשותף, כגון חזקה ייחודית בחלקים מסוימים. התקנת פרגולה אינה מהווה שימוש ייחודי. היא אינה מונעת משאר בעלי הדירות לעשות שימוש דומה ברכוש המשותף. בהחלטות שנתנו על ידי מפקחים נקבע שבנית פרגולה ברכוש המשותף דורשת הסכמת האספה הכללית. הנתבעים קיבלו הסכמה של 75% מבעלי הדירות. </w:t>
      </w:r>
    </w:p>
    <w:p w14:paraId="2A987917" w14:textId="77777777" w:rsidR="00C41114" w:rsidRPr="00C41114" w:rsidRDefault="00C41114" w:rsidP="00C41114">
      <w:pPr>
        <w:pStyle w:val="ac"/>
        <w:spacing w:line="360" w:lineRule="auto"/>
        <w:jc w:val="both"/>
        <w:rPr>
          <w:rFonts w:ascii="David" w:hAnsi="David"/>
          <w:sz w:val="26"/>
          <w:szCs w:val="26"/>
          <w:rtl/>
        </w:rPr>
      </w:pPr>
    </w:p>
    <w:p w14:paraId="366A2F36" w14:textId="77777777" w:rsidR="00C41114" w:rsidRPr="00C41114" w:rsidRDefault="00C41114" w:rsidP="00C41114">
      <w:pPr>
        <w:pStyle w:val="ac"/>
        <w:spacing w:line="360" w:lineRule="auto"/>
        <w:jc w:val="both"/>
        <w:rPr>
          <w:rFonts w:ascii="David" w:hAnsi="David"/>
          <w:sz w:val="26"/>
          <w:szCs w:val="26"/>
          <w:rtl/>
        </w:rPr>
      </w:pPr>
      <w:r w:rsidRPr="00C41114">
        <w:rPr>
          <w:rFonts w:ascii="David" w:hAnsi="David"/>
          <w:sz w:val="26"/>
          <w:szCs w:val="26"/>
          <w:rtl/>
        </w:rPr>
        <w:t xml:space="preserve">דודי השמש הוזזו על יד הנתבעים כ-8 שנים לפני הגשת התביעה לצורך איטום הגג. במשך כ-5 שנים מהתקנת הפרגולה הראשונה לא העלתה התובעת טענות לעניין הקולטים ודודי השמש מה שמוכיח שלא נגרם לה נזק עקב כך. </w:t>
      </w:r>
    </w:p>
    <w:p w14:paraId="22A20BE0" w14:textId="77777777" w:rsidR="00C41114" w:rsidRPr="00C41114" w:rsidRDefault="00C41114" w:rsidP="00C41114">
      <w:pPr>
        <w:pStyle w:val="ac"/>
        <w:spacing w:line="360" w:lineRule="auto"/>
        <w:jc w:val="both"/>
        <w:rPr>
          <w:rFonts w:ascii="David" w:hAnsi="David"/>
          <w:sz w:val="26"/>
          <w:szCs w:val="26"/>
          <w:rtl/>
        </w:rPr>
      </w:pPr>
    </w:p>
    <w:p w14:paraId="3DAE615F" w14:textId="77777777" w:rsidR="00C41114" w:rsidRPr="00C41114" w:rsidRDefault="00C41114" w:rsidP="00C41114">
      <w:pPr>
        <w:pStyle w:val="ac"/>
        <w:spacing w:line="360" w:lineRule="auto"/>
        <w:jc w:val="both"/>
        <w:rPr>
          <w:rFonts w:ascii="David" w:hAnsi="David"/>
          <w:sz w:val="26"/>
          <w:szCs w:val="26"/>
          <w:rtl/>
        </w:rPr>
      </w:pPr>
      <w:r w:rsidRPr="00C41114">
        <w:rPr>
          <w:rFonts w:ascii="David" w:hAnsi="David"/>
          <w:sz w:val="26"/>
          <w:szCs w:val="26"/>
          <w:rtl/>
        </w:rPr>
        <w:t xml:space="preserve">הטענות בדבר רטיבות בתקרת ביתה אינן ידועות לנתבעים, ואינן נוגעות לשימוש בגג המשותף. </w:t>
      </w:r>
    </w:p>
    <w:p w14:paraId="65DA60E9" w14:textId="77777777" w:rsidR="00C41114" w:rsidRPr="00C41114" w:rsidRDefault="00C41114" w:rsidP="00C41114">
      <w:pPr>
        <w:pStyle w:val="ac"/>
        <w:spacing w:line="360" w:lineRule="auto"/>
        <w:jc w:val="both"/>
        <w:rPr>
          <w:rFonts w:ascii="David" w:hAnsi="David"/>
          <w:sz w:val="26"/>
          <w:szCs w:val="26"/>
          <w:rtl/>
        </w:rPr>
      </w:pPr>
    </w:p>
    <w:p w14:paraId="05C4BDF7" w14:textId="77777777" w:rsidR="00C41114" w:rsidRPr="00C41114" w:rsidRDefault="00C41114" w:rsidP="00C41114">
      <w:pPr>
        <w:pStyle w:val="ac"/>
        <w:spacing w:line="360" w:lineRule="auto"/>
        <w:jc w:val="both"/>
        <w:rPr>
          <w:rFonts w:ascii="David" w:hAnsi="David"/>
          <w:sz w:val="26"/>
          <w:szCs w:val="26"/>
          <w:rtl/>
        </w:rPr>
      </w:pPr>
      <w:r w:rsidRPr="00C41114">
        <w:rPr>
          <w:rFonts w:ascii="David" w:hAnsi="David"/>
          <w:sz w:val="26"/>
          <w:szCs w:val="26"/>
          <w:rtl/>
        </w:rPr>
        <w:t xml:space="preserve">השימוש הנעשה בגג אינו גורם מטרד והטענה בדבר הפרעה לאור השמש חסרת בסיס.  </w:t>
      </w:r>
    </w:p>
    <w:p w14:paraId="67B84EBF" w14:textId="77777777" w:rsidR="00C41114" w:rsidRPr="00C41114" w:rsidRDefault="00C41114" w:rsidP="00C41114">
      <w:pPr>
        <w:spacing w:line="360" w:lineRule="auto"/>
        <w:jc w:val="both"/>
        <w:rPr>
          <w:rFonts w:ascii="David" w:hAnsi="David"/>
          <w:sz w:val="26"/>
          <w:szCs w:val="26"/>
          <w:rtl/>
        </w:rPr>
      </w:pPr>
    </w:p>
    <w:p w14:paraId="24B1E110" w14:textId="77777777" w:rsidR="00C41114" w:rsidRPr="00C41114" w:rsidRDefault="00C41114" w:rsidP="00990DAA">
      <w:pPr>
        <w:spacing w:line="360" w:lineRule="auto"/>
        <w:jc w:val="both"/>
        <w:outlineLvl w:val="1"/>
        <w:rPr>
          <w:rFonts w:ascii="David" w:hAnsi="David"/>
          <w:b/>
          <w:bCs/>
          <w:sz w:val="26"/>
          <w:szCs w:val="26"/>
          <w:u w:val="single"/>
          <w:rtl/>
        </w:rPr>
      </w:pPr>
      <w:r w:rsidRPr="00C41114">
        <w:rPr>
          <w:rFonts w:ascii="David" w:hAnsi="David"/>
          <w:b/>
          <w:bCs/>
          <w:sz w:val="26"/>
          <w:szCs w:val="26"/>
          <w:u w:val="single"/>
          <w:rtl/>
        </w:rPr>
        <w:t>ההליך</w:t>
      </w:r>
    </w:p>
    <w:p w14:paraId="5713D6F6" w14:textId="77777777" w:rsidR="00C41114" w:rsidRPr="00C41114" w:rsidRDefault="00C41114" w:rsidP="00C41114">
      <w:pPr>
        <w:pStyle w:val="ac"/>
        <w:numPr>
          <w:ilvl w:val="0"/>
          <w:numId w:val="15"/>
        </w:numPr>
        <w:spacing w:line="360" w:lineRule="auto"/>
        <w:jc w:val="both"/>
        <w:rPr>
          <w:rFonts w:ascii="David" w:hAnsi="David"/>
          <w:sz w:val="26"/>
          <w:szCs w:val="26"/>
        </w:rPr>
      </w:pPr>
      <w:r w:rsidRPr="00C41114">
        <w:rPr>
          <w:rFonts w:ascii="David" w:hAnsi="David"/>
          <w:sz w:val="26"/>
          <w:szCs w:val="26"/>
          <w:rtl/>
        </w:rPr>
        <w:t xml:space="preserve">בתאריך 11.8.2024 הוגש כתב התביעה וכן בקשה לסעד זמני, בה התבקש להורות לנתבעים להימנע מפעולות בניה ומהתקנת מתקנים על הגג המשותף. בעקבות כך ניתן צו ארעי. ביום 20.8.2024 התקיים דיון בבקשה. במהלך הדיון הגיעו הצדדים להסכמות לעניין צמצום הצו באופן שאפשר השלמת גדר המתכת סביב הגג בגובה שלא יעלה על 1.3 מ', ומתן אפשרות לבן התובעת לעלות לגג בין היתר לבחינת קיום ההסכמות, לאחר תיאום מראש. הוסכם שהצדדים יהיו רשאים לטעון להוצאות הבקשה טרם סיום ההליך. הסכמות הצדדים קיבלו תוקף של החלטה. </w:t>
      </w:r>
    </w:p>
    <w:p w14:paraId="2F2A8564" w14:textId="77777777" w:rsidR="00C41114" w:rsidRPr="00C41114" w:rsidRDefault="00C41114" w:rsidP="00C41114">
      <w:pPr>
        <w:pStyle w:val="ac"/>
        <w:spacing w:line="360" w:lineRule="auto"/>
        <w:jc w:val="both"/>
        <w:rPr>
          <w:rFonts w:ascii="David" w:hAnsi="David"/>
          <w:sz w:val="26"/>
          <w:szCs w:val="26"/>
        </w:rPr>
      </w:pPr>
    </w:p>
    <w:p w14:paraId="0D4C27FF" w14:textId="77777777" w:rsidR="00C41114" w:rsidRPr="00C41114" w:rsidRDefault="00C41114" w:rsidP="00C41114">
      <w:pPr>
        <w:pStyle w:val="ac"/>
        <w:numPr>
          <w:ilvl w:val="0"/>
          <w:numId w:val="15"/>
        </w:numPr>
        <w:spacing w:line="360" w:lineRule="auto"/>
        <w:jc w:val="both"/>
        <w:rPr>
          <w:rFonts w:ascii="David" w:hAnsi="David"/>
          <w:sz w:val="26"/>
          <w:szCs w:val="26"/>
        </w:rPr>
      </w:pPr>
      <w:r w:rsidRPr="00C41114">
        <w:rPr>
          <w:rFonts w:ascii="David" w:hAnsi="David"/>
          <w:sz w:val="26"/>
          <w:szCs w:val="26"/>
          <w:rtl/>
        </w:rPr>
        <w:t xml:space="preserve">ביום 18.9.2024 התקיים דיון בבקשת התובעת על פי פקודת ביזיון בית המשפט. בסיום הדיון הגיעו הצדדים להסכמות נוספות. יוער כי מחקירות הנתבעים עלה כי הוצעה הפרה מסוימת של הצו שניתן, אולם לא היה ברור אם הדבר נעשה בידיעתם. </w:t>
      </w:r>
    </w:p>
    <w:p w14:paraId="3DA70CDF" w14:textId="77777777" w:rsidR="00C41114" w:rsidRPr="00C41114" w:rsidRDefault="00C41114" w:rsidP="00C41114">
      <w:pPr>
        <w:pStyle w:val="ac"/>
        <w:spacing w:line="360" w:lineRule="auto"/>
        <w:rPr>
          <w:rFonts w:ascii="David" w:hAnsi="David"/>
          <w:sz w:val="26"/>
          <w:szCs w:val="26"/>
          <w:rtl/>
        </w:rPr>
      </w:pPr>
    </w:p>
    <w:p w14:paraId="4CA5996F" w14:textId="77777777" w:rsidR="00C41114" w:rsidRPr="00C41114" w:rsidRDefault="00C41114" w:rsidP="00C41114">
      <w:pPr>
        <w:pStyle w:val="ac"/>
        <w:numPr>
          <w:ilvl w:val="0"/>
          <w:numId w:val="15"/>
        </w:numPr>
        <w:spacing w:line="360" w:lineRule="auto"/>
        <w:jc w:val="both"/>
        <w:rPr>
          <w:rFonts w:ascii="David" w:hAnsi="David"/>
          <w:sz w:val="26"/>
          <w:szCs w:val="26"/>
        </w:rPr>
      </w:pPr>
      <w:r w:rsidRPr="00C41114">
        <w:rPr>
          <w:rFonts w:ascii="David" w:hAnsi="David"/>
          <w:sz w:val="26"/>
          <w:szCs w:val="26"/>
          <w:rtl/>
        </w:rPr>
        <w:t xml:space="preserve">ביום 27.1.2025 התקיים דיון </w:t>
      </w:r>
      <w:proofErr w:type="spellStart"/>
      <w:r w:rsidRPr="00C41114">
        <w:rPr>
          <w:rFonts w:ascii="David" w:hAnsi="David"/>
          <w:sz w:val="26"/>
          <w:szCs w:val="26"/>
          <w:rtl/>
        </w:rPr>
        <w:t>קד"מ</w:t>
      </w:r>
      <w:proofErr w:type="spellEnd"/>
      <w:r w:rsidRPr="00C41114">
        <w:rPr>
          <w:rFonts w:ascii="David" w:hAnsi="David"/>
          <w:sz w:val="26"/>
          <w:szCs w:val="26"/>
          <w:rtl/>
        </w:rPr>
        <w:t xml:space="preserve">. במהלך הדיון הודיעו הנתבעים כי יסירו את כל המתקנים שהתקינו על הגג המשותף לרבות הג'קוזי בתוך 90 יום, ולפיכך ניתן תוקף של החלטה להודעתם. התובעת עמדה על כך שמלבד הסרת המתקנים תוסר גם הפרגולה וכל דבר שהתקינו הנתבעים בגג המשותף. </w:t>
      </w:r>
    </w:p>
    <w:p w14:paraId="07FC09AD" w14:textId="77777777" w:rsidR="00C41114" w:rsidRPr="00C41114" w:rsidRDefault="00C41114" w:rsidP="00C41114">
      <w:pPr>
        <w:pStyle w:val="ac"/>
        <w:spacing w:line="360" w:lineRule="auto"/>
        <w:rPr>
          <w:rFonts w:ascii="David" w:hAnsi="David"/>
          <w:sz w:val="26"/>
          <w:szCs w:val="26"/>
          <w:rtl/>
        </w:rPr>
      </w:pPr>
    </w:p>
    <w:p w14:paraId="6B0BD6DC" w14:textId="77777777" w:rsidR="00C41114" w:rsidRPr="00C41114" w:rsidRDefault="00C41114" w:rsidP="00C41114">
      <w:pPr>
        <w:pStyle w:val="ac"/>
        <w:numPr>
          <w:ilvl w:val="0"/>
          <w:numId w:val="15"/>
        </w:numPr>
        <w:spacing w:line="360" w:lineRule="auto"/>
        <w:jc w:val="both"/>
        <w:rPr>
          <w:rFonts w:ascii="David" w:hAnsi="David"/>
          <w:sz w:val="26"/>
          <w:szCs w:val="26"/>
        </w:rPr>
      </w:pPr>
      <w:r w:rsidRPr="00C41114">
        <w:rPr>
          <w:rFonts w:ascii="David" w:hAnsi="David"/>
          <w:sz w:val="26"/>
          <w:szCs w:val="26"/>
          <w:rtl/>
        </w:rPr>
        <w:t xml:space="preserve">ביום 12.3.2025 (טרם חלוף 90 הימים האמורים) התקיים ביקור במקום. לאחר הביקור נתנה החלטה על פיה עולה כי </w:t>
      </w:r>
      <w:proofErr w:type="spellStart"/>
      <w:r w:rsidRPr="00C41114">
        <w:rPr>
          <w:rFonts w:ascii="David" w:hAnsi="David"/>
          <w:sz w:val="26"/>
          <w:szCs w:val="26"/>
          <w:rtl/>
        </w:rPr>
        <w:t>הסעדים</w:t>
      </w:r>
      <w:proofErr w:type="spellEnd"/>
      <w:r w:rsidRPr="00C41114">
        <w:rPr>
          <w:rFonts w:ascii="David" w:hAnsi="David"/>
          <w:sz w:val="26"/>
          <w:szCs w:val="26"/>
          <w:rtl/>
        </w:rPr>
        <w:t xml:space="preserve"> שנותרו לאחר ההחלטה שנתנה על בסיס הסכמת הנתבעים, הם מתן גישה סבירה לגג ולמערכות שעליו, הריסת הבניה בגג, הורדת קונסטרוקציית הברזל והמתקנים האחרים שהונחו וכל בניה לא חוקית אחרת מהגג, ולהימנע מלעשות שימוש ייחודי בגג. לצדדים הוצע להסכים כי פסק </w:t>
      </w:r>
      <w:r w:rsidRPr="00C41114">
        <w:rPr>
          <w:rFonts w:ascii="David" w:hAnsi="David"/>
          <w:sz w:val="26"/>
          <w:szCs w:val="26"/>
          <w:rtl/>
        </w:rPr>
        <w:lastRenderedPageBreak/>
        <w:t xml:space="preserve">הדין יינתן לאחר קביעת ההליך לסיכומים, על בסיס הביקור במקום ומסמכי התיק, והצדדים הסכימו, לפיכך נקבע התיק לסיכומים ואלו הוגשו. </w:t>
      </w:r>
    </w:p>
    <w:p w14:paraId="403EABC9" w14:textId="77777777" w:rsidR="00C41114" w:rsidRPr="00C41114" w:rsidRDefault="00C41114" w:rsidP="00C41114">
      <w:pPr>
        <w:pStyle w:val="ac"/>
        <w:spacing w:line="360" w:lineRule="auto"/>
        <w:rPr>
          <w:rFonts w:ascii="David" w:hAnsi="David"/>
          <w:sz w:val="26"/>
          <w:szCs w:val="26"/>
          <w:rtl/>
        </w:rPr>
      </w:pPr>
    </w:p>
    <w:p w14:paraId="3F510D38" w14:textId="77777777" w:rsidR="00C41114" w:rsidRPr="00C41114" w:rsidRDefault="00C41114" w:rsidP="00990DAA">
      <w:pPr>
        <w:spacing w:line="360" w:lineRule="auto"/>
        <w:jc w:val="both"/>
        <w:outlineLvl w:val="1"/>
        <w:rPr>
          <w:rFonts w:ascii="David" w:hAnsi="David"/>
          <w:b/>
          <w:bCs/>
          <w:sz w:val="26"/>
          <w:szCs w:val="26"/>
          <w:u w:val="single"/>
          <w:rtl/>
        </w:rPr>
      </w:pPr>
      <w:r w:rsidRPr="00C41114">
        <w:rPr>
          <w:rFonts w:ascii="David" w:hAnsi="David"/>
          <w:b/>
          <w:bCs/>
          <w:sz w:val="26"/>
          <w:szCs w:val="26"/>
          <w:u w:val="single"/>
          <w:rtl/>
        </w:rPr>
        <w:t>דיון והכרעה</w:t>
      </w:r>
    </w:p>
    <w:p w14:paraId="2374F6F6" w14:textId="77777777" w:rsidR="00C41114" w:rsidRPr="00C41114" w:rsidRDefault="00C41114" w:rsidP="00990DAA">
      <w:pPr>
        <w:spacing w:line="360" w:lineRule="auto"/>
        <w:jc w:val="both"/>
        <w:outlineLvl w:val="2"/>
        <w:rPr>
          <w:rFonts w:ascii="David" w:hAnsi="David"/>
          <w:sz w:val="26"/>
          <w:szCs w:val="26"/>
          <w:u w:val="single"/>
          <w:rtl/>
        </w:rPr>
      </w:pPr>
      <w:r w:rsidRPr="00C41114">
        <w:rPr>
          <w:rFonts w:ascii="David" w:hAnsi="David"/>
          <w:sz w:val="26"/>
          <w:szCs w:val="26"/>
          <w:u w:val="single"/>
          <w:rtl/>
        </w:rPr>
        <w:t>שינויים ברכוש המשותף</w:t>
      </w:r>
    </w:p>
    <w:p w14:paraId="5932F822" w14:textId="77777777" w:rsidR="00C41114" w:rsidRPr="00C41114" w:rsidRDefault="00C41114" w:rsidP="00C41114">
      <w:pPr>
        <w:pStyle w:val="ac"/>
        <w:numPr>
          <w:ilvl w:val="0"/>
          <w:numId w:val="15"/>
        </w:numPr>
        <w:spacing w:line="360" w:lineRule="auto"/>
        <w:jc w:val="both"/>
        <w:rPr>
          <w:rFonts w:ascii="David" w:hAnsi="David"/>
          <w:sz w:val="26"/>
          <w:szCs w:val="26"/>
        </w:rPr>
      </w:pPr>
      <w:r w:rsidRPr="00C41114">
        <w:rPr>
          <w:rFonts w:ascii="David" w:hAnsi="David"/>
          <w:sz w:val="26"/>
          <w:szCs w:val="26"/>
          <w:rtl/>
        </w:rPr>
        <w:t xml:space="preserve">בהיעדר הוראה בתקנון המוסכם החל על הבית המשותף, ובהתאם לסעיף 64 </w:t>
      </w:r>
      <w:r w:rsidRPr="00C41114">
        <w:rPr>
          <w:rFonts w:ascii="David" w:hAnsi="David"/>
          <w:b/>
          <w:bCs/>
          <w:sz w:val="26"/>
          <w:szCs w:val="26"/>
          <w:rtl/>
        </w:rPr>
        <w:t>לחוק המקרקעין, תשכ"ט – 1969</w:t>
      </w:r>
      <w:r w:rsidRPr="00C41114">
        <w:rPr>
          <w:rFonts w:ascii="David" w:hAnsi="David"/>
          <w:sz w:val="26"/>
          <w:szCs w:val="26"/>
          <w:rtl/>
        </w:rPr>
        <w:t xml:space="preserve"> (להלן- חוק המקרקעין) חל על הבית המשותף סעיף 2 לתקנון המצוי שבתוספת לחוק המקרקעין. סעיף 2 (א) לתקנון המצוי קובע:</w:t>
      </w:r>
    </w:p>
    <w:p w14:paraId="1366161B" w14:textId="77777777" w:rsidR="00C41114" w:rsidRPr="00C41114" w:rsidRDefault="00C41114" w:rsidP="00C41114">
      <w:pPr>
        <w:spacing w:line="360" w:lineRule="auto"/>
        <w:ind w:left="360"/>
        <w:rPr>
          <w:rFonts w:ascii="David" w:hAnsi="David"/>
          <w:sz w:val="26"/>
          <w:szCs w:val="26"/>
          <w:rtl/>
        </w:rPr>
      </w:pPr>
    </w:p>
    <w:p w14:paraId="4E6AD6E9" w14:textId="77777777" w:rsidR="00C41114" w:rsidRPr="00C41114" w:rsidRDefault="00C41114" w:rsidP="00C41114">
      <w:pPr>
        <w:pStyle w:val="ac"/>
        <w:spacing w:line="360" w:lineRule="auto"/>
        <w:ind w:left="1440"/>
        <w:jc w:val="both"/>
        <w:rPr>
          <w:rFonts w:ascii="David" w:hAnsi="David"/>
          <w:sz w:val="26"/>
          <w:szCs w:val="26"/>
          <w:rtl/>
        </w:rPr>
      </w:pPr>
      <w:r w:rsidRPr="00C41114">
        <w:rPr>
          <w:rFonts w:ascii="David" w:hAnsi="David"/>
          <w:sz w:val="26"/>
          <w:szCs w:val="26"/>
          <w:rtl/>
        </w:rPr>
        <w:t xml:space="preserve">"בעל דירה אינו רשאי לעשות בדירתו שינויים או תיקונים הפוגעים ברכוש המשותף או מסכנים או עשויים לסכן את ערכו, אלא אם קיבל תחילה הסכמת </w:t>
      </w:r>
      <w:proofErr w:type="spellStart"/>
      <w:r w:rsidRPr="00C41114">
        <w:rPr>
          <w:rFonts w:ascii="David" w:hAnsi="David"/>
          <w:sz w:val="26"/>
          <w:szCs w:val="26"/>
          <w:rtl/>
        </w:rPr>
        <w:t>האסיפה</w:t>
      </w:r>
      <w:proofErr w:type="spellEnd"/>
      <w:r w:rsidRPr="00C41114">
        <w:rPr>
          <w:rFonts w:ascii="David" w:hAnsi="David"/>
          <w:sz w:val="26"/>
          <w:szCs w:val="26"/>
          <w:rtl/>
        </w:rPr>
        <w:t xml:space="preserve"> הכללית של בעלי הדירות; </w:t>
      </w:r>
      <w:proofErr w:type="spellStart"/>
      <w:r w:rsidRPr="00C41114">
        <w:rPr>
          <w:rFonts w:ascii="David" w:hAnsi="David"/>
          <w:sz w:val="26"/>
          <w:szCs w:val="26"/>
          <w:rtl/>
        </w:rPr>
        <w:t>לענין</w:t>
      </w:r>
      <w:proofErr w:type="spellEnd"/>
      <w:r w:rsidRPr="00C41114">
        <w:rPr>
          <w:rFonts w:ascii="David" w:hAnsi="David"/>
          <w:sz w:val="26"/>
          <w:szCs w:val="26"/>
          <w:rtl/>
        </w:rPr>
        <w:t xml:space="preserve"> זה, "פגיעה ברכוש המשותף" - לרבות פגיעה בחזותו החיצונית התקינה והאחידה כפי </w:t>
      </w:r>
      <w:proofErr w:type="spellStart"/>
      <w:r w:rsidRPr="00C41114">
        <w:rPr>
          <w:rFonts w:ascii="David" w:hAnsi="David"/>
          <w:sz w:val="26"/>
          <w:szCs w:val="26"/>
          <w:rtl/>
        </w:rPr>
        <w:t>שהיתה</w:t>
      </w:r>
      <w:proofErr w:type="spellEnd"/>
      <w:r w:rsidRPr="00C41114">
        <w:rPr>
          <w:rFonts w:ascii="David" w:hAnsi="David"/>
          <w:sz w:val="26"/>
          <w:szCs w:val="26"/>
          <w:rtl/>
        </w:rPr>
        <w:t xml:space="preserve"> בעת גמר הבניה." </w:t>
      </w:r>
    </w:p>
    <w:p w14:paraId="73C37EF6" w14:textId="77777777" w:rsidR="00C41114" w:rsidRPr="00C41114" w:rsidRDefault="00C41114" w:rsidP="00C41114">
      <w:pPr>
        <w:spacing w:line="360" w:lineRule="auto"/>
        <w:jc w:val="both"/>
        <w:rPr>
          <w:rFonts w:ascii="David" w:hAnsi="David"/>
          <w:sz w:val="26"/>
          <w:szCs w:val="26"/>
          <w:rtl/>
        </w:rPr>
      </w:pPr>
    </w:p>
    <w:p w14:paraId="2DEA86CC" w14:textId="77777777" w:rsidR="00C41114" w:rsidRPr="00C41114" w:rsidRDefault="00C41114" w:rsidP="00C41114">
      <w:pPr>
        <w:pStyle w:val="ac"/>
        <w:numPr>
          <w:ilvl w:val="0"/>
          <w:numId w:val="15"/>
        </w:numPr>
        <w:spacing w:line="360" w:lineRule="auto"/>
        <w:jc w:val="both"/>
        <w:rPr>
          <w:rFonts w:ascii="David" w:hAnsi="David"/>
          <w:sz w:val="26"/>
          <w:szCs w:val="26"/>
        </w:rPr>
      </w:pPr>
      <w:r w:rsidRPr="00C41114">
        <w:rPr>
          <w:rFonts w:ascii="David" w:hAnsi="David"/>
          <w:sz w:val="26"/>
          <w:szCs w:val="26"/>
          <w:rtl/>
        </w:rPr>
        <w:t>אין מחלוקת כי יתר בעלי הדירות, מלבד התובעת, הסכימו לבניית הפרגולה ולשינויים שביצעו הנתבעים בגג הבית המשותף.</w:t>
      </w:r>
    </w:p>
    <w:p w14:paraId="19421B73" w14:textId="77777777" w:rsidR="00C41114" w:rsidRPr="00C41114" w:rsidRDefault="00C41114" w:rsidP="00C41114">
      <w:pPr>
        <w:pStyle w:val="ac"/>
        <w:spacing w:line="360" w:lineRule="auto"/>
        <w:jc w:val="both"/>
        <w:rPr>
          <w:rFonts w:ascii="David" w:hAnsi="David"/>
          <w:sz w:val="26"/>
          <w:szCs w:val="26"/>
          <w:rtl/>
        </w:rPr>
      </w:pPr>
    </w:p>
    <w:p w14:paraId="1823CE5E" w14:textId="77777777" w:rsidR="00C41114" w:rsidRPr="00C41114" w:rsidRDefault="00C41114" w:rsidP="00C41114">
      <w:pPr>
        <w:pStyle w:val="ac"/>
        <w:numPr>
          <w:ilvl w:val="0"/>
          <w:numId w:val="15"/>
        </w:numPr>
        <w:spacing w:line="360" w:lineRule="auto"/>
        <w:jc w:val="both"/>
        <w:rPr>
          <w:rFonts w:ascii="David" w:hAnsi="David"/>
          <w:sz w:val="26"/>
          <w:szCs w:val="26"/>
        </w:rPr>
      </w:pPr>
      <w:r w:rsidRPr="00C41114">
        <w:rPr>
          <w:rFonts w:ascii="David" w:hAnsi="David"/>
          <w:sz w:val="26"/>
          <w:szCs w:val="26"/>
          <w:rtl/>
        </w:rPr>
        <w:t xml:space="preserve">עם זאת, בפסיקה העוסקת בשיתוף במקרקעין, נקבע כי החלטת רוב כאמור יכולה להיות במסגרת ניהול רגיל ושימוש רגיל במקרקעין, ואף במסגרת זו, בעלי רוב החלקים אינם יכולים לקפח את המיעוט [ר' ע"א 810/82 </w:t>
      </w:r>
      <w:r w:rsidRPr="00C41114">
        <w:rPr>
          <w:rFonts w:ascii="David" w:hAnsi="David"/>
          <w:b/>
          <w:bCs/>
          <w:sz w:val="26"/>
          <w:szCs w:val="26"/>
          <w:rtl/>
        </w:rPr>
        <w:t xml:space="preserve">זול בו בע"מ נ. יהודית </w:t>
      </w:r>
      <w:proofErr w:type="spellStart"/>
      <w:r w:rsidRPr="00C41114">
        <w:rPr>
          <w:rFonts w:ascii="David" w:hAnsi="David"/>
          <w:b/>
          <w:bCs/>
          <w:sz w:val="26"/>
          <w:szCs w:val="26"/>
          <w:rtl/>
        </w:rPr>
        <w:t>זיידה</w:t>
      </w:r>
      <w:proofErr w:type="spellEnd"/>
      <w:r w:rsidRPr="00C41114">
        <w:rPr>
          <w:rFonts w:ascii="David" w:hAnsi="David"/>
          <w:sz w:val="26"/>
          <w:szCs w:val="26"/>
          <w:rtl/>
        </w:rPr>
        <w:t xml:space="preserve">, </w:t>
      </w:r>
      <w:proofErr w:type="spellStart"/>
      <w:r w:rsidRPr="00C41114">
        <w:rPr>
          <w:rFonts w:ascii="David" w:hAnsi="David"/>
          <w:sz w:val="26"/>
          <w:szCs w:val="26"/>
          <w:rtl/>
        </w:rPr>
        <w:t>לז</w:t>
      </w:r>
      <w:proofErr w:type="spellEnd"/>
      <w:r w:rsidRPr="00C41114">
        <w:rPr>
          <w:rFonts w:ascii="David" w:hAnsi="David"/>
          <w:sz w:val="26"/>
          <w:szCs w:val="26"/>
          <w:rtl/>
        </w:rPr>
        <w:t xml:space="preserve">(4) 737(1983)]. כמו כן לעניין סמכות אסיפה כללית להחלטה בדבר השימוש ברכוש המשותף, נקבע כי על אף שהסעיף הרלוונטי הנוגע לשיתוף במקרקעין אינו חל על בתים משותפים, עדיין חלים עקרונות כלליים </w:t>
      </w:r>
      <w:proofErr w:type="spellStart"/>
      <w:r w:rsidRPr="00C41114">
        <w:rPr>
          <w:rFonts w:ascii="David" w:hAnsi="David"/>
          <w:sz w:val="26"/>
          <w:szCs w:val="26"/>
          <w:rtl/>
        </w:rPr>
        <w:t>מכח</w:t>
      </w:r>
      <w:proofErr w:type="spellEnd"/>
      <w:r w:rsidRPr="00C41114">
        <w:rPr>
          <w:rFonts w:ascii="David" w:hAnsi="David"/>
          <w:sz w:val="26"/>
          <w:szCs w:val="26"/>
          <w:rtl/>
        </w:rPr>
        <w:t xml:space="preserve"> הדין הכללי, כפי שנקבע לדוגמה בע"א (ת"א) 991/97 </w:t>
      </w:r>
      <w:r w:rsidRPr="00C41114">
        <w:rPr>
          <w:rFonts w:ascii="David" w:hAnsi="David"/>
          <w:b/>
          <w:bCs/>
          <w:sz w:val="26"/>
          <w:szCs w:val="26"/>
          <w:rtl/>
        </w:rPr>
        <w:t>נציגות הבית המשותף נ. לילי אבן</w:t>
      </w:r>
      <w:r w:rsidRPr="00C41114">
        <w:rPr>
          <w:rFonts w:ascii="David" w:hAnsi="David"/>
          <w:sz w:val="26"/>
          <w:szCs w:val="26"/>
          <w:rtl/>
        </w:rPr>
        <w:t xml:space="preserve"> (נבו 13.1.98):</w:t>
      </w:r>
    </w:p>
    <w:p w14:paraId="30B0997B" w14:textId="77777777" w:rsidR="00C41114" w:rsidRPr="00C41114" w:rsidRDefault="00C41114" w:rsidP="00C41114">
      <w:pPr>
        <w:pStyle w:val="ac"/>
        <w:spacing w:line="360" w:lineRule="auto"/>
        <w:jc w:val="both"/>
        <w:rPr>
          <w:rFonts w:ascii="David" w:hAnsi="David"/>
          <w:sz w:val="26"/>
          <w:szCs w:val="26"/>
        </w:rPr>
      </w:pPr>
    </w:p>
    <w:p w14:paraId="01FCD968" w14:textId="27C777B5" w:rsidR="00C41114" w:rsidRPr="00C41114" w:rsidRDefault="00C41114" w:rsidP="00C41114">
      <w:pPr>
        <w:pStyle w:val="ac"/>
        <w:tabs>
          <w:tab w:val="left" w:pos="120"/>
          <w:tab w:val="left" w:pos="600"/>
        </w:tabs>
        <w:spacing w:line="360" w:lineRule="auto"/>
        <w:ind w:left="1440" w:hanging="720"/>
        <w:jc w:val="both"/>
        <w:rPr>
          <w:rFonts w:ascii="David" w:hAnsi="David"/>
          <w:sz w:val="26"/>
          <w:szCs w:val="26"/>
          <w:rtl/>
        </w:rPr>
      </w:pPr>
      <w:r w:rsidRPr="00C41114">
        <w:rPr>
          <w:rFonts w:ascii="David" w:hAnsi="David"/>
          <w:sz w:val="26"/>
          <w:szCs w:val="26"/>
          <w:rtl/>
        </w:rPr>
        <w:tab/>
        <w:t xml:space="preserve">"סמכותה של </w:t>
      </w:r>
      <w:proofErr w:type="spellStart"/>
      <w:r w:rsidRPr="00C41114">
        <w:rPr>
          <w:rFonts w:ascii="David" w:hAnsi="David"/>
          <w:sz w:val="26"/>
          <w:szCs w:val="26"/>
          <w:rtl/>
        </w:rPr>
        <w:t>האסיפה</w:t>
      </w:r>
      <w:proofErr w:type="spellEnd"/>
      <w:r w:rsidRPr="00C41114">
        <w:rPr>
          <w:rFonts w:ascii="David" w:hAnsi="David"/>
          <w:sz w:val="26"/>
          <w:szCs w:val="26"/>
          <w:rtl/>
        </w:rPr>
        <w:t xml:space="preserve"> הכללית לקבוע את השימוש ברכוש המשותף היא מוגבלת, ובעיקר על ידי עקרונות כלליים הקבועים בדין (ראו גם י. ויסמן, </w:t>
      </w:r>
      <w:r w:rsidRPr="00C41114">
        <w:rPr>
          <w:rFonts w:ascii="David" w:hAnsi="David"/>
          <w:bCs/>
          <w:sz w:val="26"/>
          <w:szCs w:val="26"/>
          <w:rtl/>
        </w:rPr>
        <w:t>דיני קנין</w:t>
      </w:r>
      <w:r w:rsidRPr="00C41114">
        <w:rPr>
          <w:rFonts w:ascii="David" w:hAnsi="David"/>
          <w:sz w:val="26"/>
          <w:szCs w:val="26"/>
          <w:rtl/>
        </w:rPr>
        <w:t xml:space="preserve">, חלק שני בעלות ושיתוף, ירושלים, תשנ"ז </w:t>
      </w:r>
      <w:r w:rsidRPr="00C41114">
        <w:rPr>
          <w:rFonts w:ascii="David" w:hAnsi="David"/>
          <w:sz w:val="26"/>
          <w:szCs w:val="26"/>
        </w:rPr>
        <w:t>1997</w:t>
      </w:r>
      <w:r w:rsidRPr="00C41114">
        <w:rPr>
          <w:rFonts w:ascii="David" w:hAnsi="David"/>
          <w:sz w:val="26"/>
          <w:szCs w:val="26"/>
          <w:rtl/>
        </w:rPr>
        <w:t xml:space="preserve">, בעמ' </w:t>
      </w:r>
      <w:r w:rsidRPr="00C41114">
        <w:rPr>
          <w:rFonts w:ascii="David" w:hAnsi="David"/>
          <w:sz w:val="26"/>
          <w:szCs w:val="26"/>
        </w:rPr>
        <w:t>457</w:t>
      </w:r>
      <w:r w:rsidRPr="00C41114">
        <w:rPr>
          <w:rFonts w:ascii="David" w:hAnsi="David"/>
          <w:sz w:val="26"/>
          <w:szCs w:val="26"/>
          <w:rtl/>
        </w:rPr>
        <w:t xml:space="preserve">). בדיני השיתוף הכלליים ישנה הגנה על השותף מפני קיפוח הרוב בענייני ניהול </w:t>
      </w:r>
      <w:r w:rsidRPr="00C41114">
        <w:rPr>
          <w:rFonts w:ascii="David" w:hAnsi="David"/>
          <w:sz w:val="26"/>
          <w:szCs w:val="26"/>
          <w:rtl/>
        </w:rPr>
        <w:lastRenderedPageBreak/>
        <w:t xml:space="preserve">ושימוש ברכוש המשותף (סעיף </w:t>
      </w:r>
      <w:r w:rsidRPr="00C41114">
        <w:rPr>
          <w:rFonts w:ascii="David" w:hAnsi="David"/>
          <w:sz w:val="26"/>
          <w:szCs w:val="26"/>
        </w:rPr>
        <w:t>30</w:t>
      </w:r>
      <w:r w:rsidRPr="00C41114">
        <w:rPr>
          <w:rFonts w:ascii="David" w:hAnsi="David"/>
          <w:sz w:val="26"/>
          <w:szCs w:val="26"/>
          <w:rtl/>
        </w:rPr>
        <w:t>(ב) ל</w:t>
      </w:r>
      <w:hyperlink r:id="rId11" w:tooltip="חוק המקרקעין" w:history="1">
        <w:r w:rsidR="00990DAA">
          <w:rPr>
            <w:rStyle w:val="Hyperlink"/>
            <w:rFonts w:ascii="David" w:hAnsi="David"/>
            <w:sz w:val="26"/>
            <w:szCs w:val="26"/>
            <w:rtl/>
          </w:rPr>
          <w:t>חוק המקרקעין</w:t>
        </w:r>
      </w:hyperlink>
      <w:r w:rsidRPr="00C41114">
        <w:rPr>
          <w:rFonts w:ascii="David" w:hAnsi="David"/>
          <w:sz w:val="26"/>
          <w:szCs w:val="26"/>
          <w:rtl/>
        </w:rPr>
        <w:t xml:space="preserve">); הוראה זו נמצאת בפרק ה' לחוק ולכן אינה חלה בבתים משותפים (ראו סעיף </w:t>
      </w:r>
      <w:r w:rsidRPr="00C41114">
        <w:rPr>
          <w:rFonts w:ascii="David" w:hAnsi="David"/>
          <w:sz w:val="26"/>
          <w:szCs w:val="26"/>
        </w:rPr>
        <w:t>56</w:t>
      </w:r>
      <w:r w:rsidRPr="00C41114">
        <w:rPr>
          <w:rFonts w:ascii="David" w:hAnsi="David"/>
          <w:sz w:val="26"/>
          <w:szCs w:val="26"/>
          <w:rtl/>
        </w:rPr>
        <w:t xml:space="preserve">(א) לחוק). אך אין בדבר לפגוע בעקרונות הכלליים החלים בענייננו מכוח הדין הכללי. האיסור על הגבלת השימוש הסביר והרגיל, בלא קביעת כל שימוש אחר ובלא הנמקה ממשית (כגון, שהדבר מהווה פגיעה ברכוש המשותף) מושתת על האיסור על שימוש לרעה בזכות החל בדיני המקרקעין בישראל מכוח סעיף </w:t>
      </w:r>
      <w:r w:rsidRPr="00C41114">
        <w:rPr>
          <w:rFonts w:ascii="David" w:hAnsi="David"/>
          <w:sz w:val="26"/>
          <w:szCs w:val="26"/>
        </w:rPr>
        <w:t>14</w:t>
      </w:r>
      <w:r w:rsidRPr="00C41114">
        <w:rPr>
          <w:rFonts w:ascii="David" w:hAnsi="David"/>
          <w:sz w:val="26"/>
          <w:szCs w:val="26"/>
          <w:rtl/>
        </w:rPr>
        <w:t xml:space="preserve"> ל</w:t>
      </w:r>
      <w:hyperlink r:id="rId12" w:tooltip="חוק המקרקעין" w:history="1">
        <w:r w:rsidR="00990DAA">
          <w:rPr>
            <w:rStyle w:val="Hyperlink"/>
            <w:rFonts w:ascii="David" w:hAnsi="David"/>
            <w:sz w:val="26"/>
            <w:szCs w:val="26"/>
            <w:rtl/>
          </w:rPr>
          <w:t>חוק המקרקעין</w:t>
        </w:r>
      </w:hyperlink>
      <w:r w:rsidRPr="00C41114">
        <w:rPr>
          <w:rFonts w:ascii="David" w:hAnsi="David"/>
          <w:sz w:val="26"/>
          <w:szCs w:val="26"/>
          <w:rtl/>
        </w:rPr>
        <w:t xml:space="preserve">. איסור זה מעוגן אף בעקרון תום הלב החל בהפעלת זכויות במקרקעין (על פי סעיף </w:t>
      </w:r>
      <w:r w:rsidRPr="00C41114">
        <w:rPr>
          <w:rFonts w:ascii="David" w:hAnsi="David"/>
          <w:sz w:val="26"/>
          <w:szCs w:val="26"/>
        </w:rPr>
        <w:t>39</w:t>
      </w:r>
      <w:r w:rsidRPr="00C41114">
        <w:rPr>
          <w:rFonts w:ascii="David" w:hAnsi="David"/>
          <w:sz w:val="26"/>
          <w:szCs w:val="26"/>
          <w:rtl/>
        </w:rPr>
        <w:t xml:space="preserve"> ו- </w:t>
      </w:r>
      <w:r w:rsidRPr="00C41114">
        <w:rPr>
          <w:rFonts w:ascii="David" w:hAnsi="David"/>
          <w:sz w:val="26"/>
          <w:szCs w:val="26"/>
        </w:rPr>
        <w:t>61</w:t>
      </w:r>
      <w:r w:rsidRPr="00C41114">
        <w:rPr>
          <w:rFonts w:ascii="David" w:hAnsi="David"/>
          <w:sz w:val="26"/>
          <w:szCs w:val="26"/>
          <w:rtl/>
        </w:rPr>
        <w:t>(ב) ל</w:t>
      </w:r>
      <w:hyperlink r:id="rId13" w:tooltip="חוק החוזים" w:history="1">
        <w:r w:rsidR="00990DAA">
          <w:rPr>
            <w:rStyle w:val="Hyperlink"/>
            <w:rFonts w:ascii="David" w:hAnsi="David"/>
            <w:sz w:val="26"/>
            <w:szCs w:val="26"/>
            <w:rtl/>
          </w:rPr>
          <w:t>חוק החוזים</w:t>
        </w:r>
      </w:hyperlink>
      <w:r w:rsidRPr="00C41114">
        <w:rPr>
          <w:rFonts w:ascii="David" w:hAnsi="David"/>
          <w:sz w:val="26"/>
          <w:szCs w:val="26"/>
          <w:rtl/>
        </w:rPr>
        <w:t xml:space="preserve"> (חלק כללי), תשל"ג </w:t>
      </w:r>
      <w:r w:rsidRPr="00C41114">
        <w:rPr>
          <w:rFonts w:ascii="David" w:hAnsi="David"/>
          <w:sz w:val="26"/>
          <w:szCs w:val="26"/>
        </w:rPr>
        <w:t>1973</w:t>
      </w:r>
      <w:r w:rsidRPr="00C41114">
        <w:rPr>
          <w:rFonts w:ascii="David" w:hAnsi="David"/>
          <w:sz w:val="26"/>
          <w:szCs w:val="26"/>
          <w:rtl/>
        </w:rPr>
        <w:t>), ומוצא חיזוק גם בסעיף 3 ל</w:t>
      </w:r>
      <w:hyperlink r:id="rId14" w:tooltip="חוק יסוד: כבוד האדם וחירותו" w:history="1">
        <w:r w:rsidR="00990DAA">
          <w:rPr>
            <w:rStyle w:val="Hyperlink"/>
            <w:rFonts w:ascii="David" w:hAnsi="David"/>
            <w:sz w:val="26"/>
            <w:szCs w:val="26"/>
            <w:rtl/>
          </w:rPr>
          <w:t>חוק יסוד: כבוד האדם וחירותו</w:t>
        </w:r>
      </w:hyperlink>
      <w:r w:rsidRPr="00C41114">
        <w:rPr>
          <w:rFonts w:ascii="David" w:hAnsi="David"/>
          <w:sz w:val="26"/>
          <w:szCs w:val="26"/>
          <w:rtl/>
        </w:rPr>
        <w:t xml:space="preserve">, המגן על קניינו של האדם. </w:t>
      </w:r>
      <w:proofErr w:type="spellStart"/>
      <w:r w:rsidRPr="00C41114">
        <w:rPr>
          <w:rFonts w:ascii="David" w:hAnsi="David"/>
          <w:sz w:val="26"/>
          <w:szCs w:val="26"/>
          <w:rtl/>
        </w:rPr>
        <w:t>בענין</w:t>
      </w:r>
      <w:proofErr w:type="spellEnd"/>
      <w:r w:rsidRPr="00C41114">
        <w:rPr>
          <w:rFonts w:ascii="David" w:hAnsi="David"/>
          <w:sz w:val="26"/>
          <w:szCs w:val="26"/>
          <w:rtl/>
        </w:rPr>
        <w:t xml:space="preserve"> זה יש לציין, כי בלא אפשרות לשימוש סביר בקניינו של האדם, תושם לפלסתר זכותו </w:t>
      </w:r>
      <w:proofErr w:type="spellStart"/>
      <w:r w:rsidRPr="00C41114">
        <w:rPr>
          <w:rFonts w:ascii="David" w:hAnsi="David"/>
          <w:sz w:val="26"/>
          <w:szCs w:val="26"/>
          <w:rtl/>
        </w:rPr>
        <w:t>בקנין.</w:t>
      </w:r>
      <w:r w:rsidRPr="00C41114">
        <w:rPr>
          <w:rFonts w:ascii="David" w:hAnsi="David"/>
          <w:color w:val="FFFFFF"/>
          <w:sz w:val="26"/>
          <w:szCs w:val="26"/>
          <w:rtl/>
        </w:rPr>
        <w:t>נ</w:t>
      </w:r>
      <w:proofErr w:type="spellEnd"/>
      <w:r w:rsidRPr="00C41114">
        <w:rPr>
          <w:rFonts w:ascii="David" w:hAnsi="David"/>
          <w:sz w:val="26"/>
          <w:szCs w:val="26"/>
          <w:rtl/>
        </w:rPr>
        <w:t>"</w:t>
      </w:r>
    </w:p>
    <w:p w14:paraId="5C2D1677" w14:textId="77777777" w:rsidR="00C41114" w:rsidRPr="00C41114" w:rsidRDefault="00C41114" w:rsidP="00C41114">
      <w:pPr>
        <w:tabs>
          <w:tab w:val="left" w:pos="120"/>
          <w:tab w:val="left" w:pos="600"/>
        </w:tabs>
        <w:spacing w:line="360" w:lineRule="auto"/>
        <w:jc w:val="both"/>
        <w:rPr>
          <w:rFonts w:ascii="David" w:hAnsi="David"/>
          <w:sz w:val="26"/>
          <w:szCs w:val="26"/>
          <w:rtl/>
        </w:rPr>
      </w:pPr>
    </w:p>
    <w:p w14:paraId="48C3A91A" w14:textId="77777777" w:rsidR="00C41114" w:rsidRPr="00C41114" w:rsidRDefault="00C41114" w:rsidP="00C41114">
      <w:pPr>
        <w:pStyle w:val="ac"/>
        <w:numPr>
          <w:ilvl w:val="0"/>
          <w:numId w:val="15"/>
        </w:numPr>
        <w:tabs>
          <w:tab w:val="left" w:pos="120"/>
          <w:tab w:val="left" w:pos="600"/>
        </w:tabs>
        <w:spacing w:line="360" w:lineRule="auto"/>
        <w:jc w:val="both"/>
        <w:rPr>
          <w:rFonts w:ascii="David" w:hAnsi="David"/>
          <w:sz w:val="26"/>
          <w:szCs w:val="26"/>
        </w:rPr>
      </w:pPr>
      <w:r w:rsidRPr="00C41114">
        <w:rPr>
          <w:rFonts w:ascii="David" w:hAnsi="David"/>
          <w:sz w:val="26"/>
          <w:szCs w:val="26"/>
          <w:rtl/>
        </w:rPr>
        <w:t>במקרה דנן, הסכמת שני בעלי הדירות האחרים, שאינם צד להליך זה, יש בה כדי לפגוע בתובעת, שכן אותם שני בעלי דירות הם בעלי דירות בחלק האחר של הבית המשותף, המהווה תמונת ראי לדירות התובעת והנתבעים. דירת האחד דומה במהותה לדירת התובעת, ומעליה קיימת דירת האחר, אשר כעולה מהביקור במקום, מעל אותה דירה נוספת קיים גג משותף במצבו המקורי, עליו מוצבים מתקנים של אותן שתי דירות. למעשה, בפועל, כפי שנצפה בביקור, הבית המשותף מתנהל באופן שלכל שתי דירות יש גג עליון המשרת את שתיהן, וקשר הנובע מכך שדירה אחת נמצאת מעל האחרת. בנסיבות אלו, הסכמת בעלי שתי הדירות האחרות כמעט שאינה פוגעת באותן שתי דירות, שכן אין להן זיקה ממשית לגג המשותף שמעל דירת הנתבעים, והיא פוגעת בעיקר בתובעת, אשר זהו הגג שאמור לשרת את מתקני דירתה, כגון דוד שמש ואנטנה. מה גם, שאם אכן יותר השימוש שעושים הנתבעים בגג המשותף, סביר כי אותן שתי דירות נוספות יגיעו להסכמות ביניהן לעניין השימוש בגג שמעל דירותיהן, או לכל הפחות בעלי הדירה הדומה לדירת הנתבעים יסיקו כי גם להם זכות לעשות שימוש דומה בגג, ועל כן, יש להן אינטרס לתת הסכמה לנתבעים כדי להביא לכך שגם הם יוכלו לבצע שימוש דומה בגג (דבר שבמידה מסוימת יחמיר את הפגיעה בתובעת בשל הרחבת השימוש ברכוש המשותף, שהיא אינה יכולה לעשות שימוש בו).</w:t>
      </w:r>
    </w:p>
    <w:p w14:paraId="153B1B12" w14:textId="77777777" w:rsidR="00C41114" w:rsidRPr="00C41114" w:rsidRDefault="00C41114" w:rsidP="00C41114">
      <w:pPr>
        <w:pStyle w:val="ac"/>
        <w:tabs>
          <w:tab w:val="left" w:pos="120"/>
          <w:tab w:val="left" w:pos="600"/>
        </w:tabs>
        <w:spacing w:line="360" w:lineRule="auto"/>
        <w:jc w:val="both"/>
        <w:rPr>
          <w:rFonts w:ascii="David" w:hAnsi="David"/>
          <w:sz w:val="26"/>
          <w:szCs w:val="26"/>
        </w:rPr>
      </w:pPr>
    </w:p>
    <w:p w14:paraId="178A461A" w14:textId="77777777" w:rsidR="00C41114" w:rsidRPr="00C41114" w:rsidRDefault="00C41114" w:rsidP="00C41114">
      <w:pPr>
        <w:pStyle w:val="ac"/>
        <w:numPr>
          <w:ilvl w:val="0"/>
          <w:numId w:val="15"/>
        </w:numPr>
        <w:tabs>
          <w:tab w:val="left" w:pos="120"/>
          <w:tab w:val="left" w:pos="600"/>
        </w:tabs>
        <w:spacing w:line="360" w:lineRule="auto"/>
        <w:jc w:val="both"/>
        <w:rPr>
          <w:rFonts w:ascii="David" w:hAnsi="David"/>
          <w:sz w:val="26"/>
          <w:szCs w:val="26"/>
        </w:rPr>
      </w:pPr>
      <w:r w:rsidRPr="00C41114">
        <w:rPr>
          <w:rFonts w:ascii="David" w:hAnsi="David"/>
          <w:sz w:val="26"/>
          <w:szCs w:val="26"/>
          <w:rtl/>
        </w:rPr>
        <w:lastRenderedPageBreak/>
        <w:t xml:space="preserve">בנוסף, לא ניתן לשלול את האפשרות שביצוע שינויים כאמור בגג משותף, באופן הנותן עדיפות לאחד מבעלי הדירות, זה שיש לו גישה לגג, עלול להוות גם פגיעה עתידית בערכן היחסי של הדירות האחרות, במיוחד שתי דירות הקרקע, ובכללן דירת התובעת, כגון ככל שיקודם הליך התחדשות עירונית בבית המשותף, ודירות הגג יבקשו להנות מהיתרון היחסי שנוצר להן בשל השינויים האמורים. </w:t>
      </w:r>
    </w:p>
    <w:p w14:paraId="2EB00EA4" w14:textId="77777777" w:rsidR="00C41114" w:rsidRPr="00C41114" w:rsidRDefault="00C41114" w:rsidP="00C41114">
      <w:pPr>
        <w:pStyle w:val="ac"/>
        <w:spacing w:line="360" w:lineRule="auto"/>
        <w:rPr>
          <w:rFonts w:ascii="David" w:hAnsi="David"/>
          <w:sz w:val="26"/>
          <w:szCs w:val="26"/>
          <w:rtl/>
        </w:rPr>
      </w:pPr>
    </w:p>
    <w:p w14:paraId="332E7016" w14:textId="2C436C92" w:rsidR="00C41114" w:rsidRPr="00C41114" w:rsidRDefault="00C41114" w:rsidP="00C41114">
      <w:pPr>
        <w:pStyle w:val="ac"/>
        <w:numPr>
          <w:ilvl w:val="0"/>
          <w:numId w:val="15"/>
        </w:numPr>
        <w:spacing w:after="160" w:line="360" w:lineRule="auto"/>
        <w:jc w:val="both"/>
        <w:rPr>
          <w:rFonts w:ascii="David" w:hAnsi="David"/>
          <w:sz w:val="26"/>
          <w:szCs w:val="26"/>
          <w:rtl/>
        </w:rPr>
      </w:pPr>
      <w:r w:rsidRPr="00C41114">
        <w:rPr>
          <w:rFonts w:ascii="David" w:hAnsi="David"/>
          <w:sz w:val="26"/>
          <w:szCs w:val="26"/>
          <w:rtl/>
        </w:rPr>
        <w:t>לעניין זה, מתאימים הדברים ב</w:t>
      </w:r>
      <w:hyperlink r:id="rId15" w:tooltip="ע&quot;א 93/81" w:history="1">
        <w:r w:rsidR="00990DAA">
          <w:rPr>
            <w:rFonts w:ascii="David" w:hAnsi="David"/>
            <w:sz w:val="26"/>
            <w:szCs w:val="26"/>
            <w:rtl/>
          </w:rPr>
          <w:t>ע"א 93/81</w:t>
        </w:r>
      </w:hyperlink>
      <w:r w:rsidRPr="00C41114">
        <w:rPr>
          <w:rFonts w:ascii="David" w:hAnsi="David"/>
          <w:sz w:val="26"/>
          <w:szCs w:val="26"/>
          <w:rtl/>
        </w:rPr>
        <w:t xml:space="preserve"> </w:t>
      </w:r>
      <w:r w:rsidRPr="00C41114">
        <w:rPr>
          <w:rFonts w:ascii="David" w:hAnsi="David"/>
          <w:b/>
          <w:bCs/>
          <w:sz w:val="26"/>
          <w:szCs w:val="26"/>
          <w:rtl/>
        </w:rPr>
        <w:t>אליאס נ' שיפר</w:t>
      </w:r>
      <w:r w:rsidRPr="00C41114">
        <w:rPr>
          <w:rFonts w:ascii="David" w:hAnsi="David"/>
          <w:sz w:val="26"/>
          <w:szCs w:val="26"/>
          <w:rtl/>
        </w:rPr>
        <w:t xml:space="preserve"> (נבו 1.5.83) :</w:t>
      </w:r>
    </w:p>
    <w:p w14:paraId="178ED2E9" w14:textId="77777777" w:rsidR="00C41114" w:rsidRPr="00C41114" w:rsidRDefault="00C41114" w:rsidP="00C41114">
      <w:pPr>
        <w:spacing w:line="360" w:lineRule="auto"/>
        <w:rPr>
          <w:rFonts w:ascii="David" w:hAnsi="David"/>
          <w:sz w:val="26"/>
          <w:szCs w:val="26"/>
          <w:rtl/>
        </w:rPr>
      </w:pPr>
    </w:p>
    <w:p w14:paraId="5D3E0318" w14:textId="77777777" w:rsidR="00C41114" w:rsidRPr="00C41114" w:rsidRDefault="00C41114" w:rsidP="00C41114">
      <w:pPr>
        <w:spacing w:after="160" w:line="360" w:lineRule="auto"/>
        <w:ind w:left="1440" w:right="1418"/>
        <w:jc w:val="both"/>
        <w:rPr>
          <w:rFonts w:ascii="David" w:hAnsi="David"/>
          <w:b/>
          <w:bCs/>
          <w:sz w:val="26"/>
          <w:szCs w:val="26"/>
          <w:rtl/>
        </w:rPr>
      </w:pPr>
      <w:r w:rsidRPr="00C41114">
        <w:rPr>
          <w:rFonts w:ascii="David" w:hAnsi="David"/>
          <w:b/>
          <w:bCs/>
          <w:sz w:val="26"/>
          <w:szCs w:val="26"/>
          <w:rtl/>
        </w:rPr>
        <w:t xml:space="preserve">"מכאן אתה למד, כי אם תותר הרצועה, ובית המשפט ייתן גושפנקא לפגיעות ברכוש המשותף, שאינן אפסיות עד שכל בר-דעת יראה בהן דבר של מה בכך, עלול הדבר לגרום להתמוטטותו של מוסד הבתים המשותפים, שיסודותיו מורכבים ומפותלים בלאו הכי, עד כדי כך שאיש הישר בעיניו יעשה ברכוש, שהוא נחלת הדיירים כלם, הפועל היוצא מדברים אלה הוא, שהעובדה כי אחד הדיירים עשה דין לעצמו ברכוש המשותף, אינה יכולה לשמש היתר לדייר אחר לעשות גם הוא כמוהו. שאם תאמר כן, פתחת פתח לכל הדיירים באותו בית משותף לנהוג ברכוש המשותף כבתוך שלהם.". </w:t>
      </w:r>
    </w:p>
    <w:p w14:paraId="2F099061" w14:textId="77777777" w:rsidR="00C41114" w:rsidRPr="00C41114" w:rsidRDefault="00C41114" w:rsidP="00C41114">
      <w:pPr>
        <w:spacing w:after="160" w:line="360" w:lineRule="auto"/>
        <w:ind w:right="1418"/>
        <w:rPr>
          <w:rFonts w:ascii="David" w:hAnsi="David"/>
          <w:sz w:val="26"/>
          <w:szCs w:val="26"/>
          <w:rtl/>
        </w:rPr>
      </w:pPr>
    </w:p>
    <w:p w14:paraId="1CF498DB" w14:textId="77777777" w:rsidR="00C41114" w:rsidRPr="00C41114" w:rsidRDefault="00C41114" w:rsidP="00C41114">
      <w:pPr>
        <w:spacing w:line="360" w:lineRule="auto"/>
        <w:ind w:left="737"/>
        <w:jc w:val="both"/>
        <w:rPr>
          <w:rFonts w:ascii="David" w:hAnsi="David"/>
          <w:sz w:val="26"/>
          <w:szCs w:val="26"/>
          <w:rtl/>
        </w:rPr>
      </w:pPr>
      <w:r w:rsidRPr="00C41114">
        <w:rPr>
          <w:rFonts w:ascii="David" w:hAnsi="David"/>
          <w:sz w:val="26"/>
          <w:szCs w:val="26"/>
          <w:rtl/>
        </w:rPr>
        <w:t>אמנם במקרה דנן שני בעלי הדירות האחרים בבית המשותף הסכימו בדיעבד לשינויים שביצעו הנתבעים בגג, אבל בנסיבות העניין, מכיוון שהאינטרס שלהם בגג האמור פחות בהרבה מזה של התובעת, קיים קושי לראות בהסכמתם כמספקת לצורך סעיף 2(א) לתקנון המצוי, בשל הפגיעה בתובעת.</w:t>
      </w:r>
    </w:p>
    <w:p w14:paraId="6E98C533" w14:textId="77777777" w:rsidR="00C41114" w:rsidRPr="00C41114" w:rsidRDefault="00C41114" w:rsidP="00C41114">
      <w:pPr>
        <w:spacing w:line="360" w:lineRule="auto"/>
        <w:ind w:left="737"/>
        <w:jc w:val="both"/>
        <w:rPr>
          <w:rFonts w:ascii="David" w:hAnsi="David"/>
          <w:sz w:val="26"/>
          <w:szCs w:val="26"/>
          <w:rtl/>
        </w:rPr>
      </w:pPr>
    </w:p>
    <w:p w14:paraId="75D225D8" w14:textId="77777777" w:rsidR="00C41114" w:rsidRPr="00C41114" w:rsidRDefault="00C41114" w:rsidP="00C41114">
      <w:pPr>
        <w:pStyle w:val="ac"/>
        <w:numPr>
          <w:ilvl w:val="0"/>
          <w:numId w:val="15"/>
        </w:numPr>
        <w:tabs>
          <w:tab w:val="left" w:pos="120"/>
          <w:tab w:val="left" w:pos="600"/>
        </w:tabs>
        <w:spacing w:line="360" w:lineRule="auto"/>
        <w:jc w:val="both"/>
        <w:rPr>
          <w:rFonts w:ascii="David" w:hAnsi="David"/>
          <w:sz w:val="26"/>
          <w:szCs w:val="26"/>
        </w:rPr>
      </w:pPr>
      <w:r w:rsidRPr="00C41114">
        <w:rPr>
          <w:rFonts w:ascii="David" w:hAnsi="David"/>
          <w:sz w:val="26"/>
          <w:szCs w:val="26"/>
          <w:rtl/>
        </w:rPr>
        <w:t xml:space="preserve">כפי שיפורט בהמשך, אין המדובר רק בשינויים ברכוש המשותף, אלא בתפיסת חזקה ייחודית בו על ידי הנתבעים. לתפיסת חזקה כאמור לא די בהסכמה של רוב בעלי הדירות בבית המשותף, אלא נדרשת הסכמה של כולם. </w:t>
      </w:r>
    </w:p>
    <w:p w14:paraId="1A02B41A" w14:textId="77777777" w:rsidR="00C41114" w:rsidRPr="00C41114" w:rsidRDefault="00C41114" w:rsidP="00C41114">
      <w:pPr>
        <w:tabs>
          <w:tab w:val="left" w:pos="120"/>
          <w:tab w:val="left" w:pos="600"/>
        </w:tabs>
        <w:spacing w:line="360" w:lineRule="auto"/>
        <w:ind w:left="360"/>
        <w:jc w:val="both"/>
        <w:rPr>
          <w:rFonts w:ascii="David" w:hAnsi="David"/>
          <w:sz w:val="26"/>
          <w:szCs w:val="26"/>
          <w:rtl/>
        </w:rPr>
      </w:pPr>
    </w:p>
    <w:p w14:paraId="74C3FAD2" w14:textId="77777777" w:rsidR="00C41114" w:rsidRPr="00C41114" w:rsidRDefault="00C41114" w:rsidP="00C41114">
      <w:pPr>
        <w:tabs>
          <w:tab w:val="left" w:pos="120"/>
          <w:tab w:val="left" w:pos="600"/>
        </w:tabs>
        <w:spacing w:line="360" w:lineRule="auto"/>
        <w:ind w:left="360"/>
        <w:jc w:val="both"/>
        <w:rPr>
          <w:rFonts w:ascii="David" w:hAnsi="David"/>
          <w:sz w:val="26"/>
          <w:szCs w:val="26"/>
          <w:u w:val="single"/>
          <w:rtl/>
        </w:rPr>
      </w:pPr>
      <w:r w:rsidRPr="00C41114">
        <w:rPr>
          <w:rFonts w:ascii="David" w:hAnsi="David"/>
          <w:sz w:val="26"/>
          <w:szCs w:val="26"/>
          <w:u w:val="single"/>
          <w:rtl/>
        </w:rPr>
        <w:t>הנתבעים תפסו חזקה ייחודית בגג המשותף</w:t>
      </w:r>
    </w:p>
    <w:p w14:paraId="1D7A3F08" w14:textId="77777777" w:rsidR="00C41114" w:rsidRPr="00C41114" w:rsidRDefault="00C41114" w:rsidP="00C41114">
      <w:pPr>
        <w:tabs>
          <w:tab w:val="left" w:pos="120"/>
          <w:tab w:val="left" w:pos="600"/>
        </w:tabs>
        <w:spacing w:line="360" w:lineRule="auto"/>
        <w:ind w:left="360"/>
        <w:jc w:val="both"/>
        <w:rPr>
          <w:rFonts w:ascii="David" w:hAnsi="David"/>
          <w:sz w:val="26"/>
          <w:szCs w:val="26"/>
        </w:rPr>
      </w:pPr>
    </w:p>
    <w:p w14:paraId="75D0C961" w14:textId="77777777" w:rsidR="00C41114" w:rsidRPr="00C41114" w:rsidRDefault="00C41114" w:rsidP="00C41114">
      <w:pPr>
        <w:pStyle w:val="ac"/>
        <w:spacing w:line="360" w:lineRule="auto"/>
        <w:rPr>
          <w:rFonts w:ascii="David" w:hAnsi="David"/>
          <w:sz w:val="26"/>
          <w:szCs w:val="26"/>
          <w:rtl/>
        </w:rPr>
      </w:pPr>
    </w:p>
    <w:p w14:paraId="65CA8645" w14:textId="36BD52B9" w:rsidR="00C41114" w:rsidRPr="00C41114" w:rsidRDefault="00C41114" w:rsidP="00C41114">
      <w:pPr>
        <w:pStyle w:val="ac"/>
        <w:numPr>
          <w:ilvl w:val="0"/>
          <w:numId w:val="15"/>
        </w:numPr>
        <w:spacing w:after="160" w:line="360" w:lineRule="auto"/>
        <w:contextualSpacing w:val="0"/>
        <w:jc w:val="both"/>
        <w:rPr>
          <w:rFonts w:ascii="David" w:hAnsi="David"/>
          <w:sz w:val="26"/>
          <w:szCs w:val="26"/>
          <w:lang w:eastAsia="he-IL"/>
        </w:rPr>
      </w:pPr>
      <w:r w:rsidRPr="00C41114">
        <w:rPr>
          <w:rFonts w:ascii="David" w:hAnsi="David"/>
          <w:sz w:val="26"/>
          <w:szCs w:val="26"/>
          <w:rtl/>
        </w:rPr>
        <w:t xml:space="preserve">סעיף 62(א) </w:t>
      </w:r>
      <w:r w:rsidRPr="00C41114">
        <w:rPr>
          <w:rFonts w:ascii="David" w:hAnsi="David"/>
          <w:b/>
          <w:bCs/>
          <w:sz w:val="26"/>
          <w:szCs w:val="26"/>
          <w:rtl/>
        </w:rPr>
        <w:t xml:space="preserve">לחוק המקרקעין </w:t>
      </w:r>
      <w:r w:rsidRPr="00C41114">
        <w:rPr>
          <w:rFonts w:ascii="David" w:hAnsi="David"/>
          <w:sz w:val="26"/>
          <w:szCs w:val="26"/>
          <w:rtl/>
        </w:rPr>
        <w:t xml:space="preserve">קובע שהצמדת חלקים מהרכוש המשותף לדירה מסוימת טעונה הסכמה של </w:t>
      </w:r>
      <w:r w:rsidRPr="00C41114">
        <w:rPr>
          <w:rFonts w:ascii="David" w:hAnsi="David"/>
          <w:b/>
          <w:bCs/>
          <w:sz w:val="26"/>
          <w:szCs w:val="26"/>
          <w:rtl/>
        </w:rPr>
        <w:t>כל</w:t>
      </w:r>
      <w:r w:rsidRPr="00C41114">
        <w:rPr>
          <w:rFonts w:ascii="David" w:hAnsi="David"/>
          <w:sz w:val="26"/>
          <w:szCs w:val="26"/>
          <w:rtl/>
        </w:rPr>
        <w:t xml:space="preserve"> בעלי הדירות. </w:t>
      </w:r>
      <w:r w:rsidRPr="00C41114">
        <w:rPr>
          <w:rFonts w:ascii="David" w:hAnsi="David"/>
          <w:sz w:val="26"/>
          <w:szCs w:val="26"/>
          <w:rtl/>
          <w:lang w:eastAsia="he-IL"/>
        </w:rPr>
        <w:t xml:space="preserve">קבלת הסכמה כאמור של כל בעלי הדירות נדרשת </w:t>
      </w:r>
      <w:r w:rsidRPr="00C41114">
        <w:rPr>
          <w:rFonts w:ascii="David" w:hAnsi="David"/>
          <w:b/>
          <w:bCs/>
          <w:sz w:val="26"/>
          <w:szCs w:val="26"/>
          <w:rtl/>
          <w:lang w:eastAsia="he-IL"/>
        </w:rPr>
        <w:t>גם</w:t>
      </w:r>
      <w:r w:rsidRPr="00C41114">
        <w:rPr>
          <w:rFonts w:ascii="David" w:hAnsi="David"/>
          <w:sz w:val="26"/>
          <w:szCs w:val="26"/>
          <w:rtl/>
          <w:lang w:eastAsia="he-IL"/>
        </w:rPr>
        <w:t xml:space="preserve"> לצורך </w:t>
      </w:r>
      <w:r w:rsidRPr="00C41114">
        <w:rPr>
          <w:rFonts w:ascii="David" w:hAnsi="David"/>
          <w:b/>
          <w:bCs/>
          <w:sz w:val="26"/>
          <w:szCs w:val="26"/>
          <w:rtl/>
          <w:lang w:eastAsia="he-IL"/>
        </w:rPr>
        <w:t>זכות שימוש ייחודי</w:t>
      </w:r>
      <w:r w:rsidRPr="00C41114">
        <w:rPr>
          <w:rFonts w:ascii="David" w:hAnsi="David"/>
          <w:sz w:val="26"/>
          <w:szCs w:val="26"/>
          <w:rtl/>
          <w:lang w:eastAsia="he-IL"/>
        </w:rPr>
        <w:t xml:space="preserve"> ברכוש המשותף שאינה כרוכה בהצמדה של אותו שטח לדירה. </w:t>
      </w:r>
      <w:r w:rsidRPr="00C41114">
        <w:rPr>
          <w:rFonts w:ascii="David" w:hAnsi="David"/>
          <w:sz w:val="26"/>
          <w:szCs w:val="26"/>
          <w:rtl/>
        </w:rPr>
        <w:t>הסכמה כאמור צריכה להיות מפורשת, ויכולה להינתן בכתב או בעל-פה, אולם הטוען לזכות לשימוש ייחודי, צריך להוכיח כי השיג את ההסכמה הפוזיטיבית הנדרשת</w:t>
      </w:r>
      <w:r w:rsidRPr="00C41114">
        <w:rPr>
          <w:rFonts w:ascii="David" w:hAnsi="David"/>
          <w:sz w:val="26"/>
          <w:szCs w:val="26"/>
          <w:rtl/>
          <w:lang w:eastAsia="he-IL"/>
        </w:rPr>
        <w:t xml:space="preserve"> [ר' </w:t>
      </w:r>
      <w:hyperlink r:id="rId16" w:tooltip="ע&quot;א 2525/92 ראוכברגר נ' עיריית רמת גן, פ&quot;ד מז" w:history="1">
        <w:r w:rsidR="00990DAA">
          <w:rPr>
            <w:rStyle w:val="Hyperlink"/>
            <w:rFonts w:ascii="David" w:hAnsi="David"/>
            <w:sz w:val="26"/>
            <w:szCs w:val="26"/>
            <w:rtl/>
            <w:lang w:eastAsia="he-IL"/>
          </w:rPr>
          <w:t xml:space="preserve">ע"א 2525/92 </w:t>
        </w:r>
        <w:proofErr w:type="spellStart"/>
        <w:r w:rsidR="00990DAA">
          <w:rPr>
            <w:rStyle w:val="Hyperlink"/>
            <w:rFonts w:ascii="David" w:hAnsi="David"/>
            <w:sz w:val="26"/>
            <w:szCs w:val="26"/>
            <w:rtl/>
            <w:lang w:eastAsia="he-IL"/>
          </w:rPr>
          <w:t>ראוכברגר</w:t>
        </w:r>
        <w:proofErr w:type="spellEnd"/>
        <w:r w:rsidR="00990DAA">
          <w:rPr>
            <w:rStyle w:val="Hyperlink"/>
            <w:rFonts w:ascii="David" w:hAnsi="David"/>
            <w:sz w:val="26"/>
            <w:szCs w:val="26"/>
            <w:rtl/>
            <w:lang w:eastAsia="he-IL"/>
          </w:rPr>
          <w:t xml:space="preserve"> נ' עיריית רמת גן, פ"ד </w:t>
        </w:r>
        <w:proofErr w:type="spellStart"/>
        <w:r w:rsidR="00990DAA">
          <w:rPr>
            <w:rStyle w:val="Hyperlink"/>
            <w:rFonts w:ascii="David" w:hAnsi="David"/>
            <w:sz w:val="26"/>
            <w:szCs w:val="26"/>
            <w:rtl/>
            <w:lang w:eastAsia="he-IL"/>
          </w:rPr>
          <w:t>מז</w:t>
        </w:r>
        <w:proofErr w:type="spellEnd"/>
      </w:hyperlink>
      <w:r w:rsidRPr="00C41114">
        <w:rPr>
          <w:rFonts w:ascii="David" w:hAnsi="David"/>
          <w:sz w:val="26"/>
          <w:szCs w:val="26"/>
          <w:rtl/>
          <w:lang w:eastAsia="he-IL"/>
        </w:rPr>
        <w:t xml:space="preserve"> (5) 850 (1993); </w:t>
      </w:r>
      <w:r w:rsidRPr="00C41114">
        <w:rPr>
          <w:rFonts w:ascii="David" w:hAnsi="David"/>
          <w:sz w:val="26"/>
          <w:szCs w:val="26"/>
          <w:rtl/>
        </w:rPr>
        <w:t xml:space="preserve">ע"א 815/81 </w:t>
      </w:r>
      <w:r w:rsidRPr="00C41114">
        <w:rPr>
          <w:rFonts w:ascii="David" w:hAnsi="David"/>
          <w:b/>
          <w:bCs/>
          <w:sz w:val="26"/>
          <w:szCs w:val="26"/>
          <w:rtl/>
        </w:rPr>
        <w:t>כליפא נ' שאול</w:t>
      </w:r>
      <w:r w:rsidRPr="00C41114">
        <w:rPr>
          <w:rFonts w:ascii="David" w:hAnsi="David"/>
          <w:sz w:val="26"/>
          <w:szCs w:val="26"/>
          <w:rtl/>
        </w:rPr>
        <w:t>, פ"ד לו (3) 78, (1982)</w:t>
      </w:r>
      <w:r w:rsidRPr="00C41114">
        <w:rPr>
          <w:rFonts w:ascii="David" w:hAnsi="David"/>
          <w:sz w:val="26"/>
          <w:szCs w:val="26"/>
          <w:rtl/>
          <w:lang w:eastAsia="he-IL"/>
        </w:rPr>
        <w:t xml:space="preserve">; ע"א (מחוזי חיפה) 13721-05-16 </w:t>
      </w:r>
      <w:r w:rsidRPr="00C41114">
        <w:rPr>
          <w:rFonts w:ascii="David" w:hAnsi="David"/>
          <w:b/>
          <w:bCs/>
          <w:sz w:val="26"/>
          <w:szCs w:val="26"/>
          <w:rtl/>
          <w:lang w:eastAsia="he-IL"/>
        </w:rPr>
        <w:t>אליהו גבאי נ' יאיר הקש</w:t>
      </w:r>
      <w:r w:rsidRPr="00C41114">
        <w:rPr>
          <w:rFonts w:ascii="David" w:hAnsi="David"/>
          <w:sz w:val="26"/>
          <w:szCs w:val="26"/>
          <w:rtl/>
          <w:lang w:eastAsia="he-IL"/>
        </w:rPr>
        <w:t xml:space="preserve"> (נבו 5.10.2016) בפסקה 29; י. </w:t>
      </w:r>
      <w:proofErr w:type="spellStart"/>
      <w:r w:rsidRPr="00C41114">
        <w:rPr>
          <w:rFonts w:ascii="David" w:hAnsi="David"/>
          <w:sz w:val="26"/>
          <w:szCs w:val="26"/>
          <w:rtl/>
          <w:lang w:eastAsia="he-IL"/>
        </w:rPr>
        <w:t>וייסמן</w:t>
      </w:r>
      <w:proofErr w:type="spellEnd"/>
      <w:r w:rsidRPr="00C41114">
        <w:rPr>
          <w:rFonts w:ascii="David" w:hAnsi="David"/>
          <w:sz w:val="26"/>
          <w:szCs w:val="26"/>
          <w:rtl/>
          <w:lang w:eastAsia="he-IL"/>
        </w:rPr>
        <w:t xml:space="preserve">, </w:t>
      </w:r>
      <w:r w:rsidRPr="00C41114">
        <w:rPr>
          <w:rFonts w:ascii="David" w:hAnsi="David"/>
          <w:b/>
          <w:bCs/>
          <w:sz w:val="26"/>
          <w:szCs w:val="26"/>
          <w:rtl/>
          <w:lang w:eastAsia="he-IL"/>
        </w:rPr>
        <w:t>דיני קניין בעלות ושיתוף</w:t>
      </w:r>
      <w:r w:rsidRPr="00C41114">
        <w:rPr>
          <w:rFonts w:ascii="David" w:hAnsi="David"/>
          <w:sz w:val="26"/>
          <w:szCs w:val="26"/>
          <w:rtl/>
          <w:lang w:eastAsia="he-IL"/>
        </w:rPr>
        <w:t xml:space="preserve"> (תשנ"ז-1997) עמ' 454-455].</w:t>
      </w:r>
    </w:p>
    <w:p w14:paraId="258E04F9" w14:textId="77777777" w:rsidR="00C41114" w:rsidRPr="00C41114" w:rsidRDefault="00C41114" w:rsidP="00C41114">
      <w:pPr>
        <w:pStyle w:val="ac"/>
        <w:spacing w:line="360" w:lineRule="auto"/>
        <w:rPr>
          <w:rFonts w:ascii="David" w:hAnsi="David"/>
          <w:sz w:val="26"/>
          <w:szCs w:val="26"/>
          <w:rtl/>
          <w:lang w:eastAsia="he-IL"/>
        </w:rPr>
      </w:pPr>
    </w:p>
    <w:p w14:paraId="54617A41" w14:textId="309F4F5E" w:rsidR="00C41114" w:rsidRPr="00C41114" w:rsidRDefault="00C41114" w:rsidP="00C41114">
      <w:pPr>
        <w:pStyle w:val="ac"/>
        <w:numPr>
          <w:ilvl w:val="0"/>
          <w:numId w:val="15"/>
        </w:numPr>
        <w:spacing w:after="160" w:line="360" w:lineRule="auto"/>
        <w:contextualSpacing w:val="0"/>
        <w:jc w:val="both"/>
        <w:rPr>
          <w:rFonts w:ascii="David" w:hAnsi="David"/>
          <w:color w:val="000000" w:themeColor="text1"/>
          <w:sz w:val="26"/>
          <w:szCs w:val="26"/>
          <w:rtl/>
        </w:rPr>
      </w:pPr>
      <w:r w:rsidRPr="00C41114">
        <w:rPr>
          <w:rFonts w:ascii="David" w:hAnsi="David"/>
          <w:sz w:val="26"/>
          <w:szCs w:val="26"/>
          <w:rtl/>
          <w:lang w:eastAsia="he-IL"/>
        </w:rPr>
        <w:t xml:space="preserve">ככלל, </w:t>
      </w:r>
      <w:r w:rsidRPr="00C41114">
        <w:rPr>
          <w:rFonts w:ascii="David" w:hAnsi="David"/>
          <w:sz w:val="26"/>
          <w:szCs w:val="26"/>
          <w:rtl/>
        </w:rPr>
        <w:t xml:space="preserve">בעל דירה רשאי לבטל בכל עת זכות שימוש ברכוש המשותף שנתן לבעל דירה אחרת [ר' לדוגמה </w:t>
      </w:r>
      <w:hyperlink r:id="rId17" w:tooltip="ע&quot;א 32/77 טבוליצקי נ' בית כנסת פ&quot;ד לא" w:history="1">
        <w:r w:rsidR="00990DAA">
          <w:rPr>
            <w:rFonts w:ascii="David" w:hAnsi="David"/>
            <w:sz w:val="26"/>
            <w:szCs w:val="26"/>
            <w:rtl/>
          </w:rPr>
          <w:t xml:space="preserve">ע"א 32/77 </w:t>
        </w:r>
        <w:proofErr w:type="spellStart"/>
        <w:r w:rsidR="00990DAA">
          <w:rPr>
            <w:rFonts w:ascii="David" w:hAnsi="David"/>
            <w:sz w:val="26"/>
            <w:szCs w:val="26"/>
            <w:rtl/>
          </w:rPr>
          <w:t>טבוליצקי</w:t>
        </w:r>
        <w:proofErr w:type="spellEnd"/>
        <w:r w:rsidR="00990DAA">
          <w:rPr>
            <w:rFonts w:ascii="David" w:hAnsi="David"/>
            <w:sz w:val="26"/>
            <w:szCs w:val="26"/>
            <w:rtl/>
          </w:rPr>
          <w:t xml:space="preserve"> נ' בית כנסת פ"ד לא</w:t>
        </w:r>
      </w:hyperlink>
      <w:r w:rsidRPr="00C41114">
        <w:rPr>
          <w:rFonts w:ascii="David" w:hAnsi="David"/>
          <w:sz w:val="26"/>
          <w:szCs w:val="26"/>
          <w:rtl/>
        </w:rPr>
        <w:t xml:space="preserve">(3) 210 (1977); </w:t>
      </w:r>
      <w:hyperlink r:id="rId18" w:tooltip="רע&quot;א 2427/14" w:history="1">
        <w:r w:rsidR="00990DAA">
          <w:rPr>
            <w:rStyle w:val="Hyperlink"/>
            <w:rFonts w:ascii="David" w:hAnsi="David"/>
            <w:color w:val="000000" w:themeColor="text1"/>
            <w:sz w:val="26"/>
            <w:szCs w:val="26"/>
            <w:u w:val="none"/>
            <w:rtl/>
          </w:rPr>
          <w:t>רע"א 2427/14</w:t>
        </w:r>
      </w:hyperlink>
      <w:r w:rsidRPr="00C41114">
        <w:rPr>
          <w:rFonts w:ascii="David" w:hAnsi="David"/>
          <w:color w:val="000000" w:themeColor="text1"/>
          <w:sz w:val="26"/>
          <w:szCs w:val="26"/>
          <w:rtl/>
        </w:rPr>
        <w:t xml:space="preserve"> </w:t>
      </w:r>
      <w:proofErr w:type="spellStart"/>
      <w:r w:rsidRPr="00C41114">
        <w:rPr>
          <w:rFonts w:ascii="David" w:hAnsi="David"/>
          <w:b/>
          <w:bCs/>
          <w:sz w:val="26"/>
          <w:szCs w:val="26"/>
          <w:rtl/>
        </w:rPr>
        <w:t>מרגוליס</w:t>
      </w:r>
      <w:proofErr w:type="spellEnd"/>
      <w:r w:rsidRPr="00C41114">
        <w:rPr>
          <w:rFonts w:ascii="David" w:hAnsi="David"/>
          <w:b/>
          <w:bCs/>
          <w:sz w:val="26"/>
          <w:szCs w:val="26"/>
          <w:rtl/>
        </w:rPr>
        <w:t xml:space="preserve"> נ' דיין</w:t>
      </w:r>
      <w:r w:rsidRPr="00C41114">
        <w:rPr>
          <w:rFonts w:ascii="David" w:hAnsi="David"/>
          <w:sz w:val="26"/>
          <w:szCs w:val="26"/>
          <w:rtl/>
        </w:rPr>
        <w:t xml:space="preserve"> (נבו 29.4.2014) בפסקה 4 וכן ע"א 17397-02-19 (מחוזי ת"א) </w:t>
      </w:r>
      <w:r w:rsidRPr="00C41114">
        <w:rPr>
          <w:rFonts w:ascii="David" w:hAnsi="David"/>
          <w:b/>
          <w:bCs/>
          <w:sz w:val="26"/>
          <w:szCs w:val="26"/>
          <w:rtl/>
        </w:rPr>
        <w:t>חסידים ואח' נ' נציגות הבית</w:t>
      </w:r>
      <w:r w:rsidRPr="00C41114">
        <w:rPr>
          <w:rFonts w:ascii="David" w:hAnsi="David"/>
          <w:sz w:val="26"/>
          <w:szCs w:val="26"/>
          <w:rtl/>
        </w:rPr>
        <w:t xml:space="preserve"> </w:t>
      </w:r>
      <w:r w:rsidRPr="00C41114">
        <w:rPr>
          <w:rFonts w:ascii="David" w:hAnsi="David"/>
          <w:b/>
          <w:bCs/>
          <w:sz w:val="26"/>
          <w:szCs w:val="26"/>
          <w:rtl/>
        </w:rPr>
        <w:t>המשותף ואח'</w:t>
      </w:r>
      <w:r w:rsidRPr="00C41114">
        <w:rPr>
          <w:rFonts w:ascii="David" w:hAnsi="David"/>
          <w:sz w:val="26"/>
          <w:szCs w:val="26"/>
          <w:rtl/>
        </w:rPr>
        <w:t xml:space="preserve"> (נבו 1.4.2020)].</w:t>
      </w:r>
    </w:p>
    <w:p w14:paraId="3A9BF97D" w14:textId="77777777" w:rsidR="00C41114" w:rsidRPr="00C41114" w:rsidRDefault="00C41114" w:rsidP="00C41114">
      <w:pPr>
        <w:pStyle w:val="ac"/>
        <w:numPr>
          <w:ilvl w:val="0"/>
          <w:numId w:val="15"/>
        </w:numPr>
        <w:spacing w:line="360" w:lineRule="auto"/>
        <w:jc w:val="both"/>
        <w:rPr>
          <w:rFonts w:ascii="David" w:hAnsi="David"/>
          <w:color w:val="000000" w:themeColor="text1"/>
          <w:sz w:val="26"/>
          <w:szCs w:val="26"/>
        </w:rPr>
      </w:pPr>
      <w:r w:rsidRPr="00C41114">
        <w:rPr>
          <w:rFonts w:ascii="David" w:hAnsi="David"/>
          <w:color w:val="000000" w:themeColor="text1"/>
          <w:sz w:val="26"/>
          <w:szCs w:val="26"/>
          <w:rtl/>
        </w:rPr>
        <w:t>באשר לנטל ההוכחה, נקבע בפסיקה כי זה מוטל על הטוען כי יש לסטות מהרישום, וכפי שנכתבו על ידי כב' המפקח מ' פורת ב</w:t>
      </w:r>
      <w:r w:rsidRPr="00C41114">
        <w:rPr>
          <w:rFonts w:ascii="David" w:hAnsi="David"/>
          <w:sz w:val="26"/>
          <w:szCs w:val="26"/>
          <w:rtl/>
        </w:rPr>
        <w:t xml:space="preserve">תיק (המפקח על המקרקעין פתח תקווה) 569/2021 </w:t>
      </w:r>
      <w:r w:rsidRPr="00C41114">
        <w:rPr>
          <w:rFonts w:ascii="David" w:hAnsi="David"/>
          <w:b/>
          <w:bCs/>
          <w:sz w:val="26"/>
          <w:szCs w:val="26"/>
          <w:rtl/>
        </w:rPr>
        <w:t>כהן נ' בן עמי</w:t>
      </w:r>
      <w:r w:rsidRPr="00C41114">
        <w:rPr>
          <w:rFonts w:ascii="David" w:hAnsi="David"/>
          <w:sz w:val="26"/>
          <w:szCs w:val="26"/>
          <w:rtl/>
        </w:rPr>
        <w:t>, (נבו 23.11.2023)</w:t>
      </w:r>
      <w:r w:rsidRPr="00C41114">
        <w:rPr>
          <w:rFonts w:ascii="David" w:hAnsi="David"/>
          <w:color w:val="000000" w:themeColor="text1"/>
          <w:sz w:val="26"/>
          <w:szCs w:val="26"/>
          <w:rtl/>
        </w:rPr>
        <w:t xml:space="preserve"> בפסקה 38:</w:t>
      </w:r>
    </w:p>
    <w:p w14:paraId="0CBEFD24" w14:textId="77777777" w:rsidR="00C41114" w:rsidRPr="00C41114" w:rsidRDefault="00C41114" w:rsidP="00C41114">
      <w:pPr>
        <w:pStyle w:val="ac"/>
        <w:spacing w:line="360" w:lineRule="auto"/>
        <w:jc w:val="both"/>
        <w:rPr>
          <w:rFonts w:ascii="David" w:hAnsi="David"/>
          <w:color w:val="000000" w:themeColor="text1"/>
          <w:sz w:val="26"/>
          <w:szCs w:val="26"/>
          <w:rtl/>
        </w:rPr>
      </w:pPr>
    </w:p>
    <w:p w14:paraId="1602018F" w14:textId="4EC84D7B" w:rsidR="00C41114" w:rsidRPr="00C41114" w:rsidRDefault="00C41114" w:rsidP="00C41114">
      <w:pPr>
        <w:pStyle w:val="ac"/>
        <w:spacing w:line="360" w:lineRule="auto"/>
        <w:ind w:left="1440"/>
        <w:jc w:val="both"/>
        <w:rPr>
          <w:rFonts w:ascii="David" w:hAnsi="David"/>
          <w:color w:val="000000" w:themeColor="text1"/>
          <w:sz w:val="26"/>
          <w:szCs w:val="26"/>
          <w:rtl/>
        </w:rPr>
      </w:pPr>
      <w:r w:rsidRPr="00C41114">
        <w:rPr>
          <w:rFonts w:ascii="David" w:hAnsi="David"/>
          <w:sz w:val="26"/>
          <w:szCs w:val="26"/>
          <w:rtl/>
        </w:rPr>
        <w:t>"כידוע, די שיוכיח בעל המקרקעין בעלותו בהם, ומכאן עובר הנטל למי שטוען לזכות להמשיך להחזיק בקרקע [סעיף 16 ל</w:t>
      </w:r>
      <w:hyperlink r:id="rId19" w:tooltip="חוק המקרקעין" w:history="1">
        <w:r w:rsidR="00990DAA">
          <w:rPr>
            <w:rStyle w:val="Hyperlink"/>
            <w:rFonts w:ascii="David" w:hAnsi="David"/>
            <w:sz w:val="26"/>
            <w:szCs w:val="26"/>
            <w:rtl/>
          </w:rPr>
          <w:t xml:space="preserve">חוק </w:t>
        </w:r>
        <w:proofErr w:type="spellStart"/>
        <w:r w:rsidR="00990DAA">
          <w:rPr>
            <w:rStyle w:val="Hyperlink"/>
            <w:rFonts w:ascii="David" w:hAnsi="David"/>
            <w:sz w:val="26"/>
            <w:szCs w:val="26"/>
            <w:rtl/>
          </w:rPr>
          <w:t>המקרקעין</w:t>
        </w:r>
      </w:hyperlink>
      <w:r w:rsidRPr="00C41114">
        <w:rPr>
          <w:rFonts w:ascii="David" w:hAnsi="David"/>
          <w:sz w:val="26"/>
          <w:szCs w:val="26"/>
          <w:rtl/>
        </w:rPr>
        <w:t>;ע"א</w:t>
      </w:r>
      <w:proofErr w:type="spellEnd"/>
      <w:r w:rsidRPr="00C41114">
        <w:rPr>
          <w:rFonts w:ascii="David" w:hAnsi="David"/>
          <w:sz w:val="26"/>
          <w:szCs w:val="26"/>
          <w:rtl/>
        </w:rPr>
        <w:t xml:space="preserve"> 127/77</w:t>
      </w:r>
      <w:r w:rsidRPr="00C41114">
        <w:rPr>
          <w:rFonts w:ascii="David" w:hAnsi="David"/>
          <w:b/>
          <w:bCs/>
          <w:sz w:val="26"/>
          <w:szCs w:val="26"/>
          <w:rtl/>
        </w:rPr>
        <w:t xml:space="preserve">קפה נ' לו, </w:t>
      </w:r>
      <w:r w:rsidRPr="00C41114">
        <w:rPr>
          <w:rFonts w:ascii="David" w:hAnsi="David"/>
          <w:sz w:val="26"/>
          <w:szCs w:val="26"/>
          <w:rtl/>
        </w:rPr>
        <w:t xml:space="preserve">פ"ד לא(3) 455, 465 (1977); </w:t>
      </w:r>
      <w:hyperlink r:id="rId20" w:tooltip="ע&quot;א 483/62" w:history="1">
        <w:r w:rsidR="00990DAA">
          <w:rPr>
            <w:rStyle w:val="Hyperlink"/>
            <w:rFonts w:ascii="David" w:hAnsi="David"/>
            <w:sz w:val="26"/>
            <w:szCs w:val="26"/>
            <w:rtl/>
          </w:rPr>
          <w:t>ע"א 483/62</w:t>
        </w:r>
      </w:hyperlink>
      <w:r w:rsidRPr="00C41114">
        <w:rPr>
          <w:rFonts w:ascii="David" w:hAnsi="David"/>
          <w:sz w:val="26"/>
          <w:szCs w:val="26"/>
          <w:rtl/>
        </w:rPr>
        <w:t xml:space="preserve"> </w:t>
      </w:r>
      <w:r w:rsidRPr="00C41114">
        <w:rPr>
          <w:rFonts w:ascii="David" w:hAnsi="David"/>
          <w:b/>
          <w:bCs/>
          <w:sz w:val="26"/>
          <w:szCs w:val="26"/>
          <w:rtl/>
        </w:rPr>
        <w:t xml:space="preserve">קוך נ' </w:t>
      </w:r>
      <w:proofErr w:type="spellStart"/>
      <w:r w:rsidRPr="00C41114">
        <w:rPr>
          <w:rFonts w:ascii="David" w:hAnsi="David"/>
          <w:b/>
          <w:bCs/>
          <w:sz w:val="26"/>
          <w:szCs w:val="26"/>
          <w:rtl/>
        </w:rPr>
        <w:t>לנדוי</w:t>
      </w:r>
      <w:proofErr w:type="spellEnd"/>
      <w:r w:rsidRPr="00C41114">
        <w:rPr>
          <w:rFonts w:ascii="David" w:hAnsi="David"/>
          <w:sz w:val="26"/>
          <w:szCs w:val="26"/>
          <w:rtl/>
        </w:rPr>
        <w:t xml:space="preserve">, פ"ד </w:t>
      </w:r>
      <w:proofErr w:type="spellStart"/>
      <w:r w:rsidRPr="00C41114">
        <w:rPr>
          <w:rFonts w:ascii="David" w:hAnsi="David"/>
          <w:sz w:val="26"/>
          <w:szCs w:val="26"/>
          <w:rtl/>
        </w:rPr>
        <w:t>יז</w:t>
      </w:r>
      <w:proofErr w:type="spellEnd"/>
      <w:r w:rsidRPr="00C41114">
        <w:rPr>
          <w:rFonts w:ascii="David" w:hAnsi="David"/>
          <w:sz w:val="26"/>
          <w:szCs w:val="26"/>
          <w:rtl/>
        </w:rPr>
        <w:t xml:space="preserve"> 1953 (1963)]. לפיכך, הנטל להוכיח כי חלקים מסוימים הוחרגו כדין מן הרכוש המשותף רובץ לפתחו של הטוען כי הוחרגו [</w:t>
      </w:r>
      <w:hyperlink r:id="rId21" w:tooltip="ע&quot;א 5791/19" w:history="1">
        <w:r w:rsidR="00990DAA">
          <w:rPr>
            <w:rStyle w:val="Hyperlink"/>
            <w:rFonts w:ascii="David" w:hAnsi="David"/>
            <w:sz w:val="26"/>
            <w:szCs w:val="26"/>
            <w:rtl/>
          </w:rPr>
          <w:t>ע"א 5791/19</w:t>
        </w:r>
      </w:hyperlink>
      <w:r w:rsidRPr="00C41114">
        <w:rPr>
          <w:rFonts w:ascii="David" w:hAnsi="David"/>
          <w:sz w:val="26"/>
          <w:szCs w:val="26"/>
          <w:rtl/>
        </w:rPr>
        <w:t xml:space="preserve"> </w:t>
      </w:r>
      <w:r w:rsidRPr="00C41114">
        <w:rPr>
          <w:rFonts w:ascii="David" w:hAnsi="David"/>
          <w:b/>
          <w:bCs/>
          <w:sz w:val="26"/>
          <w:szCs w:val="26"/>
          <w:rtl/>
        </w:rPr>
        <w:t>עדי נכסים אילת בע"מ נ' 108 בעלי זכויות במקרקעין בגוש 40039 חלקה 12</w:t>
      </w:r>
      <w:r w:rsidRPr="00C41114">
        <w:rPr>
          <w:rFonts w:ascii="David" w:hAnsi="David"/>
          <w:sz w:val="26"/>
          <w:szCs w:val="26"/>
          <w:rtl/>
        </w:rPr>
        <w:t>, בפסקה 16 (נבו 25.01.2022)]. ומשכך, כאשר אין רישום המעיד על גריעה מהרכוש המשותף, או על רישום הסכם שיתוף, נטל ההוכחה מוטל על כתפי מי שטוען שיש לסטות מהרישום"</w:t>
      </w:r>
    </w:p>
    <w:p w14:paraId="66027641" w14:textId="77777777" w:rsidR="00C41114" w:rsidRPr="00C41114" w:rsidRDefault="00C41114" w:rsidP="00C41114">
      <w:pPr>
        <w:pStyle w:val="ac"/>
        <w:spacing w:line="360" w:lineRule="auto"/>
        <w:ind w:left="1440"/>
        <w:jc w:val="both"/>
        <w:rPr>
          <w:rFonts w:ascii="David" w:hAnsi="David"/>
          <w:color w:val="000000" w:themeColor="text1"/>
          <w:sz w:val="26"/>
          <w:szCs w:val="26"/>
          <w:rtl/>
        </w:rPr>
      </w:pPr>
    </w:p>
    <w:p w14:paraId="077F9B5F" w14:textId="77777777" w:rsidR="00C41114" w:rsidRPr="00C41114" w:rsidRDefault="00C41114" w:rsidP="00C41114">
      <w:pPr>
        <w:pStyle w:val="ac"/>
        <w:numPr>
          <w:ilvl w:val="0"/>
          <w:numId w:val="15"/>
        </w:numPr>
        <w:tabs>
          <w:tab w:val="left" w:pos="120"/>
          <w:tab w:val="left" w:pos="600"/>
        </w:tabs>
        <w:spacing w:line="360" w:lineRule="auto"/>
        <w:jc w:val="both"/>
        <w:rPr>
          <w:rFonts w:ascii="David" w:hAnsi="David"/>
          <w:sz w:val="26"/>
          <w:szCs w:val="26"/>
        </w:rPr>
      </w:pPr>
      <w:r w:rsidRPr="00C41114">
        <w:rPr>
          <w:rFonts w:ascii="David" w:hAnsi="David"/>
          <w:sz w:val="26"/>
          <w:szCs w:val="26"/>
          <w:rtl/>
        </w:rPr>
        <w:t xml:space="preserve">בענייננו, לא נטען שהתובעת הסכימה לתפיסת חזקה ייחודית של הנתבעים בגג המשותף. אף אם ניתן היה לראות בהיעדר התנגדותה בשלבים מסוימים משום </w:t>
      </w:r>
      <w:r w:rsidRPr="00C41114">
        <w:rPr>
          <w:rFonts w:ascii="David" w:hAnsi="David"/>
          <w:sz w:val="26"/>
          <w:szCs w:val="26"/>
          <w:rtl/>
        </w:rPr>
        <w:lastRenderedPageBreak/>
        <w:t xml:space="preserve">הסכמה מכללא, הרי שכאמור, ניתן לבטל הסכמה כאמור בכל עת. אין מחלוקת כי התובעת לא קיבלה תמורה כלשהי בגין השימוש האמור שמבוצע על ידי הנתבעים בגג המשותף, ושלא נתנה הסכמה כלשהי שעל בסיסה שינו הנתבעים מצבם לרעה (גם אם הדבר היה נטען, הרי שהיה על הנתבעים הנטל להוכיח זאת, ומשוויתרו הצדדים על הליך הבאת ראיות, ממילא הדבר לא הוכח). </w:t>
      </w:r>
    </w:p>
    <w:p w14:paraId="45783360" w14:textId="77777777" w:rsidR="00C41114" w:rsidRPr="00C41114" w:rsidRDefault="00C41114" w:rsidP="00C41114">
      <w:pPr>
        <w:pStyle w:val="ac"/>
        <w:spacing w:line="360" w:lineRule="auto"/>
        <w:rPr>
          <w:rFonts w:ascii="David" w:hAnsi="David"/>
          <w:sz w:val="26"/>
          <w:szCs w:val="26"/>
          <w:rtl/>
        </w:rPr>
      </w:pPr>
    </w:p>
    <w:p w14:paraId="2F57B5A1" w14:textId="77777777" w:rsidR="00C41114" w:rsidRPr="00C41114" w:rsidRDefault="00C41114" w:rsidP="00C41114">
      <w:pPr>
        <w:pStyle w:val="ac"/>
        <w:numPr>
          <w:ilvl w:val="0"/>
          <w:numId w:val="15"/>
        </w:numPr>
        <w:spacing w:line="360" w:lineRule="auto"/>
        <w:jc w:val="both"/>
        <w:rPr>
          <w:rFonts w:ascii="David" w:hAnsi="David"/>
          <w:sz w:val="26"/>
          <w:szCs w:val="26"/>
        </w:rPr>
      </w:pPr>
      <w:r w:rsidRPr="00C41114">
        <w:rPr>
          <w:rFonts w:ascii="David" w:hAnsi="David"/>
          <w:sz w:val="26"/>
          <w:szCs w:val="26"/>
          <w:rtl/>
        </w:rPr>
        <w:t xml:space="preserve">העובדה שהגישה לגג המשותף שמעל דירת הנתבעים יכולה להיות מתוך דירת הנתבעים בלבד, אינה מקנה לנתבעים זכות עודפת בגג זה [ר ע"א 374/08 </w:t>
      </w:r>
      <w:r w:rsidRPr="00C41114">
        <w:rPr>
          <w:rFonts w:ascii="David" w:hAnsi="David"/>
          <w:b/>
          <w:bCs/>
          <w:sz w:val="26"/>
          <w:szCs w:val="26"/>
          <w:rtl/>
        </w:rPr>
        <w:t xml:space="preserve">קטן נ' </w:t>
      </w:r>
      <w:proofErr w:type="spellStart"/>
      <w:r w:rsidRPr="00C41114">
        <w:rPr>
          <w:rFonts w:ascii="David" w:hAnsi="David"/>
          <w:b/>
          <w:bCs/>
          <w:sz w:val="26"/>
          <w:szCs w:val="26"/>
          <w:rtl/>
        </w:rPr>
        <w:t>הורנשטיין</w:t>
      </w:r>
      <w:proofErr w:type="spellEnd"/>
      <w:r w:rsidRPr="00C41114">
        <w:rPr>
          <w:rFonts w:ascii="David" w:hAnsi="David"/>
          <w:sz w:val="26"/>
          <w:szCs w:val="26"/>
          <w:rtl/>
        </w:rPr>
        <w:t xml:space="preserve">, (נבו 25.12.2012) פסקה 33]. גם אם יכולת הנתבעת לעשות שימוש בגג המשותף פחות נוחה ונגישה מזו של הנתבעים, שכן הדבר דורש תיאום וכניסה דרך דירת הנתבעים, אין משמעות הדבר שלנתבעים זכות עודפת לבצע שימוש בגג האמור. זכות הבעלות ברכוש המשותף, וזכות השימוש בו, נגזרת מהוראות </w:t>
      </w:r>
      <w:r w:rsidRPr="00C41114">
        <w:rPr>
          <w:rFonts w:ascii="David" w:hAnsi="David"/>
          <w:b/>
          <w:bCs/>
          <w:sz w:val="26"/>
          <w:szCs w:val="26"/>
          <w:rtl/>
        </w:rPr>
        <w:t>חוק המקרקעין</w:t>
      </w:r>
      <w:r w:rsidRPr="00C41114">
        <w:rPr>
          <w:rFonts w:ascii="David" w:hAnsi="David"/>
          <w:sz w:val="26"/>
          <w:szCs w:val="26"/>
          <w:rtl/>
        </w:rPr>
        <w:t xml:space="preserve"> וממסמכי הרישום, ולא ממיקום הרכוש המשותף. הטענה כי מעולם לא נמנע שימוש דומה מהתובעת בגג המשותף היא טענה שאין בה ממש, שכן מובן שכאשר הכניסה לגג יכולה להיות דרך דירת הנתבעים בלבד, והם התקינו בו מתקנים הכוללים מטבח חצר, ג'קוזי, פרגולה ועוד, הרי שאין כל הגיון שהתובעת תעשה שימוש דומה בגג זה הכרוך בכניסה לתוך דירת הנתבעים ושימוש בגג לאירוח וכד'.</w:t>
      </w:r>
    </w:p>
    <w:p w14:paraId="52DFAD77" w14:textId="77777777" w:rsidR="00C41114" w:rsidRPr="00C41114" w:rsidRDefault="00C41114" w:rsidP="00C41114">
      <w:pPr>
        <w:pStyle w:val="ac"/>
        <w:spacing w:line="360" w:lineRule="auto"/>
        <w:rPr>
          <w:rFonts w:ascii="David" w:hAnsi="David"/>
          <w:sz w:val="26"/>
          <w:szCs w:val="26"/>
          <w:rtl/>
        </w:rPr>
      </w:pPr>
    </w:p>
    <w:p w14:paraId="6A0E8F1C" w14:textId="16B43B6C" w:rsidR="00C41114" w:rsidRPr="00C41114" w:rsidRDefault="00C41114" w:rsidP="00C41114">
      <w:pPr>
        <w:pStyle w:val="ac"/>
        <w:numPr>
          <w:ilvl w:val="0"/>
          <w:numId w:val="15"/>
        </w:numPr>
        <w:spacing w:line="360" w:lineRule="auto"/>
        <w:jc w:val="both"/>
        <w:rPr>
          <w:rFonts w:ascii="David" w:hAnsi="David"/>
          <w:sz w:val="26"/>
          <w:szCs w:val="26"/>
        </w:rPr>
      </w:pPr>
      <w:r w:rsidRPr="00C41114">
        <w:rPr>
          <w:rFonts w:ascii="David" w:hAnsi="David"/>
          <w:sz w:val="26"/>
          <w:szCs w:val="26"/>
          <w:rtl/>
        </w:rPr>
        <w:t xml:space="preserve">אמנם לבעל דירה זכות לעשות שימוש רגיל וסביר ברכוש המשותף מבלי שנדרשת לכך הסכמה של בעלי הדירות האחרים, אולם שימוש רגיל וסביר ברכוש המשותף יהא כזה העונה על הצרכים הלגיטימיים של בעלי הדירות בבית המשותף, והתואם את ייעודו של הרכוש המשותף  [ר' לדוגמה </w:t>
      </w:r>
      <w:hyperlink r:id="rId22" w:tooltip="ע&quot;א 810/82" w:history="1">
        <w:r w:rsidR="00990DAA">
          <w:rPr>
            <w:rFonts w:ascii="David" w:hAnsi="David"/>
            <w:color w:val="0000FF"/>
            <w:sz w:val="26"/>
            <w:szCs w:val="26"/>
            <w:u w:val="single"/>
            <w:rtl/>
          </w:rPr>
          <w:t>ע"א 810/82</w:t>
        </w:r>
      </w:hyperlink>
      <w:r w:rsidRPr="00C41114">
        <w:rPr>
          <w:rFonts w:ascii="David" w:hAnsi="David"/>
          <w:sz w:val="26"/>
          <w:szCs w:val="26"/>
          <w:rtl/>
        </w:rPr>
        <w:t xml:space="preserve"> </w:t>
      </w:r>
      <w:r w:rsidRPr="00C41114">
        <w:rPr>
          <w:rFonts w:ascii="David" w:hAnsi="David"/>
          <w:b/>
          <w:bCs/>
          <w:sz w:val="26"/>
          <w:szCs w:val="26"/>
          <w:rtl/>
        </w:rPr>
        <w:t>זול בו בע"מ נ</w:t>
      </w:r>
      <w:r w:rsidRPr="00C41114">
        <w:rPr>
          <w:rFonts w:ascii="David" w:hAnsi="David"/>
          <w:b/>
          <w:bCs/>
          <w:sz w:val="26"/>
          <w:szCs w:val="26"/>
        </w:rPr>
        <w:t>'</w:t>
      </w:r>
      <w:r w:rsidRPr="00C41114">
        <w:rPr>
          <w:rFonts w:ascii="David" w:hAnsi="David"/>
          <w:b/>
          <w:bCs/>
          <w:sz w:val="26"/>
          <w:szCs w:val="26"/>
          <w:rtl/>
        </w:rPr>
        <w:t xml:space="preserve"> </w:t>
      </w:r>
      <w:proofErr w:type="spellStart"/>
      <w:r w:rsidRPr="00C41114">
        <w:rPr>
          <w:rFonts w:ascii="David" w:hAnsi="David"/>
          <w:b/>
          <w:bCs/>
          <w:sz w:val="26"/>
          <w:szCs w:val="26"/>
          <w:rtl/>
        </w:rPr>
        <w:t>זיידה</w:t>
      </w:r>
      <w:proofErr w:type="spellEnd"/>
      <w:r w:rsidRPr="00C41114">
        <w:rPr>
          <w:rFonts w:ascii="David" w:hAnsi="David"/>
          <w:sz w:val="26"/>
          <w:szCs w:val="26"/>
          <w:rtl/>
        </w:rPr>
        <w:t xml:space="preserve"> פ"ד ל"ז(4) 737 (1983)]. בכלל זאת על השימוש להיות תואם את תנאי המקום ואת מאפייניו של הבית המשותף, ייחודו, צביונו וייעודו, ותואם את הייעוד של אותו חלק ברכוש המשותף. בנוסף, שימוש כאמור ייחשב כסביר אם הוא אינו מונע שימוש דומה מדיירים אחרים בבית המשותף ואינו עולה כדי תפיסת חזקה ייחודית ברכוש המשותף. הצבת </w:t>
      </w:r>
      <w:r w:rsidRPr="00C41114">
        <w:rPr>
          <w:rFonts w:ascii="David" w:hAnsi="David"/>
          <w:sz w:val="26"/>
          <w:szCs w:val="26"/>
        </w:rPr>
        <w:t xml:space="preserve"> </w:t>
      </w:r>
      <w:r w:rsidRPr="00C41114">
        <w:rPr>
          <w:rFonts w:ascii="David" w:hAnsi="David"/>
          <w:sz w:val="26"/>
          <w:szCs w:val="26"/>
          <w:rtl/>
        </w:rPr>
        <w:t xml:space="preserve">מתקנים, ציוד ומיטלטלין דרך קבע בשטחי הרכוש המשותף אינה יכולה להיחשב שימוש סביר ורגיל ברכוש המשותף, שכן שימוש כאמור עולה כדי תפיסת חזקה ייחודית ברכוש המשותף השוללת אפשרות שימוש בחלק זה ברכוש </w:t>
      </w:r>
      <w:r w:rsidRPr="00C41114">
        <w:rPr>
          <w:rFonts w:ascii="David" w:hAnsi="David"/>
          <w:sz w:val="26"/>
          <w:szCs w:val="26"/>
          <w:rtl/>
        </w:rPr>
        <w:lastRenderedPageBreak/>
        <w:t xml:space="preserve">המשותף מבעלי הדירות האחרים [ר' והשווה ע"א 708/72 </w:t>
      </w:r>
      <w:proofErr w:type="spellStart"/>
      <w:r w:rsidRPr="00C41114">
        <w:rPr>
          <w:rFonts w:ascii="David" w:hAnsi="David"/>
          <w:b/>
          <w:bCs/>
          <w:sz w:val="26"/>
          <w:szCs w:val="26"/>
          <w:rtl/>
        </w:rPr>
        <w:t>פרשקר</w:t>
      </w:r>
      <w:proofErr w:type="spellEnd"/>
      <w:r w:rsidRPr="00C41114">
        <w:rPr>
          <w:rFonts w:ascii="David" w:hAnsi="David"/>
          <w:b/>
          <w:bCs/>
          <w:sz w:val="26"/>
          <w:szCs w:val="26"/>
          <w:rtl/>
        </w:rPr>
        <w:t xml:space="preserve"> נ' רוזנברג</w:t>
      </w:r>
      <w:r w:rsidRPr="00C41114">
        <w:rPr>
          <w:rFonts w:ascii="David" w:hAnsi="David"/>
          <w:sz w:val="26"/>
          <w:szCs w:val="26"/>
          <w:rtl/>
        </w:rPr>
        <w:t xml:space="preserve">, פ"ד </w:t>
      </w:r>
      <w:proofErr w:type="spellStart"/>
      <w:r w:rsidRPr="00C41114">
        <w:rPr>
          <w:rFonts w:ascii="David" w:hAnsi="David"/>
          <w:sz w:val="26"/>
          <w:szCs w:val="26"/>
          <w:rtl/>
        </w:rPr>
        <w:t>כח</w:t>
      </w:r>
      <w:proofErr w:type="spellEnd"/>
      <w:r w:rsidRPr="00C41114">
        <w:rPr>
          <w:rFonts w:ascii="David" w:hAnsi="David"/>
          <w:sz w:val="26"/>
          <w:szCs w:val="26"/>
          <w:rtl/>
        </w:rPr>
        <w:t>(2) ,817 824–825</w:t>
      </w:r>
      <w:r w:rsidRPr="00C41114">
        <w:rPr>
          <w:rFonts w:ascii="David" w:hAnsi="David"/>
          <w:sz w:val="26"/>
          <w:szCs w:val="26"/>
        </w:rPr>
        <w:t xml:space="preserve"> (1974)</w:t>
      </w:r>
      <w:r w:rsidRPr="00C41114">
        <w:rPr>
          <w:rFonts w:ascii="David" w:hAnsi="David"/>
          <w:sz w:val="26"/>
          <w:szCs w:val="26"/>
          <w:rtl/>
        </w:rPr>
        <w:t>].</w:t>
      </w:r>
    </w:p>
    <w:p w14:paraId="4B95200E" w14:textId="77777777" w:rsidR="00C41114" w:rsidRPr="00C41114" w:rsidRDefault="00C41114" w:rsidP="00C41114">
      <w:pPr>
        <w:pStyle w:val="ac"/>
        <w:spacing w:line="360" w:lineRule="auto"/>
        <w:rPr>
          <w:rFonts w:ascii="David" w:hAnsi="David"/>
          <w:sz w:val="26"/>
          <w:szCs w:val="26"/>
          <w:rtl/>
        </w:rPr>
      </w:pPr>
    </w:p>
    <w:p w14:paraId="32FB8EBB" w14:textId="77777777" w:rsidR="00C41114" w:rsidRPr="00C41114" w:rsidRDefault="00C41114" w:rsidP="00C41114">
      <w:pPr>
        <w:pStyle w:val="ac"/>
        <w:numPr>
          <w:ilvl w:val="0"/>
          <w:numId w:val="15"/>
        </w:numPr>
        <w:spacing w:line="360" w:lineRule="auto"/>
        <w:jc w:val="both"/>
        <w:rPr>
          <w:rFonts w:ascii="David" w:hAnsi="David"/>
          <w:sz w:val="26"/>
          <w:szCs w:val="26"/>
        </w:rPr>
      </w:pPr>
      <w:r w:rsidRPr="00C41114">
        <w:rPr>
          <w:rFonts w:ascii="David" w:hAnsi="David"/>
          <w:sz w:val="26"/>
          <w:szCs w:val="26"/>
          <w:rtl/>
        </w:rPr>
        <w:t xml:space="preserve">כפי שנצפה במועד הביקור במקום בגג השני בבית המשותף, אשר נותר במצבו המקורי, הכניסה לגג מלכתחילה הייתה באמצעות סולם, דבר המחזק את ההבנה כי הגג האמור נועד להצבת מתקנים טכניים (ר' פרוטוקול ביקור במקום מיום 12.3.2025 עמוד 1 שורות 19-20, עמוד 2 שורה 6). הנתבעים הם שבנו מדרגות העולות לגג ממרפסת דירתם, במקום הסולם שהיה קיים בעבר, מטעמי נוחות. </w:t>
      </w:r>
    </w:p>
    <w:p w14:paraId="779F6702" w14:textId="77777777" w:rsidR="00C41114" w:rsidRPr="00C41114" w:rsidRDefault="00C41114" w:rsidP="00C41114">
      <w:pPr>
        <w:pStyle w:val="ac"/>
        <w:spacing w:line="360" w:lineRule="auto"/>
        <w:rPr>
          <w:rFonts w:ascii="David" w:hAnsi="David"/>
          <w:sz w:val="26"/>
          <w:szCs w:val="26"/>
          <w:rtl/>
        </w:rPr>
      </w:pPr>
    </w:p>
    <w:p w14:paraId="393FB814" w14:textId="77777777" w:rsidR="00C41114" w:rsidRPr="00C41114" w:rsidRDefault="00C41114" w:rsidP="00C41114">
      <w:pPr>
        <w:pStyle w:val="ac"/>
        <w:spacing w:line="360" w:lineRule="auto"/>
        <w:jc w:val="both"/>
        <w:rPr>
          <w:rFonts w:ascii="David" w:hAnsi="David"/>
          <w:sz w:val="26"/>
          <w:szCs w:val="26"/>
          <w:rtl/>
        </w:rPr>
      </w:pPr>
      <w:r w:rsidRPr="00C41114">
        <w:rPr>
          <w:rFonts w:ascii="David" w:hAnsi="David"/>
          <w:sz w:val="26"/>
          <w:szCs w:val="26"/>
          <w:rtl/>
        </w:rPr>
        <w:t xml:space="preserve">כמו כן, ריבוי המתקנים שהציבו הנתבעים, ובכללם הצבת כסאות ושולחנות באופן קבוע, מטבח חצר, ג'קוזי ועוד (עמוד 1 שורות 16-17), מעידים על שימוש ייחודי בגג. אמנם הנתבעים התחייבו להסיר מתקנים כאמור, אולם עצם הצבתם, ללא קבלת הסכמת 100% מבעלי הדירות, מעידה על כוונתם של הנתבעים לבצע שימוש ייחודי בגג. </w:t>
      </w:r>
    </w:p>
    <w:p w14:paraId="5C85B6F3" w14:textId="77777777" w:rsidR="00C41114" w:rsidRPr="00C41114" w:rsidRDefault="00C41114" w:rsidP="00C41114">
      <w:pPr>
        <w:pStyle w:val="ac"/>
        <w:spacing w:line="360" w:lineRule="auto"/>
        <w:jc w:val="both"/>
        <w:rPr>
          <w:rFonts w:ascii="David" w:hAnsi="David"/>
          <w:sz w:val="26"/>
          <w:szCs w:val="26"/>
          <w:rtl/>
        </w:rPr>
      </w:pPr>
    </w:p>
    <w:p w14:paraId="10C86065" w14:textId="77777777" w:rsidR="00C41114" w:rsidRPr="00C41114" w:rsidRDefault="00C41114" w:rsidP="00C41114">
      <w:pPr>
        <w:pStyle w:val="ac"/>
        <w:spacing w:line="360" w:lineRule="auto"/>
        <w:jc w:val="both"/>
        <w:rPr>
          <w:rFonts w:ascii="David" w:hAnsi="David"/>
          <w:sz w:val="26"/>
          <w:szCs w:val="26"/>
          <w:rtl/>
        </w:rPr>
      </w:pPr>
      <w:r w:rsidRPr="00C41114">
        <w:rPr>
          <w:rFonts w:ascii="David" w:hAnsi="David"/>
          <w:sz w:val="26"/>
          <w:szCs w:val="26"/>
          <w:rtl/>
        </w:rPr>
        <w:t xml:space="preserve">יתר על כן, הנתבעים השקיעו סכומים לא מבוטלים בהתקנת פרגולה משמעותית בגג, הכוללת גדר מתכת, תקרת מתכת קבועה ומעליה </w:t>
      </w:r>
      <w:proofErr w:type="spellStart"/>
      <w:r w:rsidRPr="00C41114">
        <w:rPr>
          <w:rFonts w:ascii="David" w:hAnsi="David"/>
          <w:sz w:val="26"/>
          <w:szCs w:val="26"/>
          <w:rtl/>
        </w:rPr>
        <w:t>סנטף</w:t>
      </w:r>
      <w:proofErr w:type="spellEnd"/>
      <w:r w:rsidRPr="00C41114">
        <w:rPr>
          <w:rFonts w:ascii="David" w:hAnsi="David"/>
          <w:sz w:val="26"/>
          <w:szCs w:val="26"/>
          <w:rtl/>
        </w:rPr>
        <w:t xml:space="preserve">, ולאורך דפנות גדר המתכת המקיפה את שטח הפרגולה, וילונות מגולגלים שניתן לפתוח לצורך סגירת צידי השטח (עמוד 1 שורות 11-14), לא מדובר בהתקנת מתקן שנועד לשימוש אקראי לטובת כלל בעלי הדירות, אלא לשינוי אופי הגג באופן שיוכל להוות שטח נוסף לצרכי אירוח עבור דירת הנתבעים. במכלול הנסיבות עולה שהפרגולה נועדה לשרת את הנתבעים בלבד, ובשל כך, עצם הצבתה מהווה שימוש ייחודי בגג המשותף. </w:t>
      </w:r>
    </w:p>
    <w:p w14:paraId="7226CD8B" w14:textId="77777777" w:rsidR="00C41114" w:rsidRPr="00C41114" w:rsidRDefault="00C41114" w:rsidP="00C41114">
      <w:pPr>
        <w:pStyle w:val="ac"/>
        <w:spacing w:line="360" w:lineRule="auto"/>
        <w:jc w:val="both"/>
        <w:rPr>
          <w:rFonts w:ascii="David" w:hAnsi="David"/>
          <w:sz w:val="26"/>
          <w:szCs w:val="26"/>
          <w:rtl/>
        </w:rPr>
      </w:pPr>
    </w:p>
    <w:p w14:paraId="55A838F1" w14:textId="77777777" w:rsidR="00C41114" w:rsidRPr="00C41114" w:rsidRDefault="00C41114" w:rsidP="00C41114">
      <w:pPr>
        <w:pStyle w:val="ac"/>
        <w:spacing w:line="360" w:lineRule="auto"/>
        <w:jc w:val="both"/>
        <w:rPr>
          <w:rFonts w:ascii="David" w:hAnsi="David"/>
          <w:sz w:val="26"/>
          <w:szCs w:val="26"/>
        </w:rPr>
      </w:pPr>
      <w:r w:rsidRPr="00C41114">
        <w:rPr>
          <w:rFonts w:ascii="David" w:hAnsi="David"/>
          <w:sz w:val="26"/>
          <w:szCs w:val="26"/>
          <w:rtl/>
        </w:rPr>
        <w:t>התנהלותם של הנתבעים אשר לצורך הצבת הפרגולה הזיזו, ללא תיאום, את צלחת הלווין ואת דוד השמש של הנתבעת למיקום אחר בגג המשותף, אינה תקינה. הגג המשותף שימש בין היתר להצבת מתקנים אלו, ומובן שאין כל זכות לנתבעים להחליט על דעת עצמם שמתקני הנתבעת יוצבו במיקום שונה אך משום שברצונם לפנות את שטחו המרכזי של הגג לשימושם. כן עולה מהביקור במקום כי מיקום דודי השמש מוצל בשל מיקום הפרגולה, בשונה מהדודים שנצפו על הגג הסמוך של הבית המשותף (ר' עמוד 1 שורות 19-20). צלחת הלווין של התובעת הועברה למקום צדדי בגג (עמוד 2 שורה 12).</w:t>
      </w:r>
    </w:p>
    <w:p w14:paraId="319D61AC" w14:textId="77777777" w:rsidR="00C41114" w:rsidRPr="00C41114" w:rsidRDefault="00C41114" w:rsidP="00C41114">
      <w:pPr>
        <w:pStyle w:val="ac"/>
        <w:spacing w:line="360" w:lineRule="auto"/>
        <w:jc w:val="both"/>
        <w:rPr>
          <w:rFonts w:ascii="David" w:hAnsi="David"/>
          <w:sz w:val="26"/>
          <w:szCs w:val="26"/>
        </w:rPr>
      </w:pPr>
    </w:p>
    <w:p w14:paraId="7DB8E171" w14:textId="77777777" w:rsidR="00C41114" w:rsidRPr="00C41114" w:rsidRDefault="00C41114" w:rsidP="00C41114">
      <w:pPr>
        <w:pStyle w:val="ac"/>
        <w:spacing w:line="360" w:lineRule="auto"/>
        <w:jc w:val="both"/>
        <w:rPr>
          <w:rFonts w:ascii="David" w:hAnsi="David"/>
          <w:sz w:val="26"/>
          <w:szCs w:val="26"/>
          <w:rtl/>
        </w:rPr>
      </w:pPr>
      <w:r w:rsidRPr="00C41114">
        <w:rPr>
          <w:rFonts w:ascii="David" w:hAnsi="David"/>
          <w:sz w:val="26"/>
          <w:szCs w:val="26"/>
          <w:rtl/>
        </w:rPr>
        <w:t>להלן תמונת הגג שמעל הדירה המקבילה לזו של הנתבעים כפי שצולמה בעת הביקור במקום מאזור הגג שבמחלוקת (בצד ימני – הסולם המקורי ממנו קיימת גישה לגג, ובמרכז הגג דודי השמש של שתי הדירות המקבילות):</w:t>
      </w:r>
    </w:p>
    <w:p w14:paraId="38ADA3B6" w14:textId="77777777" w:rsidR="00C41114" w:rsidRPr="00C41114" w:rsidRDefault="00C41114" w:rsidP="00C41114">
      <w:pPr>
        <w:pStyle w:val="NormalWeb"/>
        <w:spacing w:line="360" w:lineRule="auto"/>
        <w:rPr>
          <w:rFonts w:ascii="David" w:hAnsi="David" w:cs="David"/>
          <w:sz w:val="26"/>
          <w:szCs w:val="26"/>
        </w:rPr>
      </w:pPr>
      <w:r w:rsidRPr="00C41114">
        <w:rPr>
          <w:rFonts w:ascii="David" w:hAnsi="David" w:cs="David"/>
          <w:noProof/>
          <w:sz w:val="26"/>
          <w:szCs w:val="26"/>
        </w:rPr>
        <w:drawing>
          <wp:inline distT="0" distB="0" distL="0" distR="0" wp14:anchorId="0E82981B" wp14:editId="76587C18">
            <wp:extent cx="2564606" cy="3419475"/>
            <wp:effectExtent l="0" t="0" r="7620" b="0"/>
            <wp:docPr id="2" name="תמונה 2" descr="תמ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תמונה 2" descr="תמונה"/>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72969" cy="3430625"/>
                    </a:xfrm>
                    <a:prstGeom prst="rect">
                      <a:avLst/>
                    </a:prstGeom>
                    <a:noFill/>
                    <a:ln>
                      <a:noFill/>
                    </a:ln>
                  </pic:spPr>
                </pic:pic>
              </a:graphicData>
            </a:graphic>
          </wp:inline>
        </w:drawing>
      </w:r>
    </w:p>
    <w:p w14:paraId="786E5A1A" w14:textId="77777777" w:rsidR="00C41114" w:rsidRPr="00C41114" w:rsidRDefault="00C41114" w:rsidP="00C41114">
      <w:pPr>
        <w:pStyle w:val="ac"/>
        <w:spacing w:line="360" w:lineRule="auto"/>
        <w:jc w:val="both"/>
        <w:rPr>
          <w:rFonts w:ascii="David" w:hAnsi="David"/>
          <w:sz w:val="26"/>
          <w:szCs w:val="26"/>
        </w:rPr>
      </w:pPr>
    </w:p>
    <w:p w14:paraId="3C83813F" w14:textId="77777777" w:rsidR="00C41114" w:rsidRPr="00C41114" w:rsidRDefault="00C41114" w:rsidP="00C41114">
      <w:pPr>
        <w:pStyle w:val="ac"/>
        <w:spacing w:line="360" w:lineRule="auto"/>
        <w:jc w:val="both"/>
        <w:rPr>
          <w:rFonts w:ascii="David" w:hAnsi="David"/>
          <w:sz w:val="26"/>
          <w:szCs w:val="26"/>
          <w:rtl/>
        </w:rPr>
      </w:pPr>
      <w:r w:rsidRPr="00C41114">
        <w:rPr>
          <w:rFonts w:ascii="David" w:hAnsi="David"/>
          <w:sz w:val="26"/>
          <w:szCs w:val="26"/>
          <w:rtl/>
        </w:rPr>
        <w:t>להלן תמונות שצולמו מהגג נשוא המחלוקת בעת הביקור במקום:</w:t>
      </w:r>
    </w:p>
    <w:p w14:paraId="1C0213A6" w14:textId="77777777" w:rsidR="00C41114" w:rsidRPr="00C41114" w:rsidRDefault="00C41114" w:rsidP="00C41114">
      <w:pPr>
        <w:pStyle w:val="ac"/>
        <w:spacing w:line="360" w:lineRule="auto"/>
        <w:jc w:val="both"/>
        <w:rPr>
          <w:rFonts w:ascii="David" w:hAnsi="David"/>
          <w:sz w:val="26"/>
          <w:szCs w:val="26"/>
          <w:rtl/>
        </w:rPr>
      </w:pPr>
      <w:r w:rsidRPr="00C41114">
        <w:rPr>
          <w:rFonts w:ascii="David" w:hAnsi="David"/>
          <w:sz w:val="26"/>
          <w:szCs w:val="26"/>
          <w:rtl/>
        </w:rPr>
        <w:t>דודי השמש של הצדדים שהוזזו אל מחוץ לשטח המרכזי-</w:t>
      </w:r>
    </w:p>
    <w:p w14:paraId="16B87EE8" w14:textId="77777777" w:rsidR="00C41114" w:rsidRPr="00C41114" w:rsidRDefault="00C41114" w:rsidP="00C41114">
      <w:pPr>
        <w:pStyle w:val="NormalWeb"/>
        <w:spacing w:line="360" w:lineRule="auto"/>
        <w:rPr>
          <w:rFonts w:ascii="David" w:hAnsi="David" w:cs="David"/>
          <w:sz w:val="26"/>
          <w:szCs w:val="26"/>
        </w:rPr>
      </w:pPr>
      <w:r w:rsidRPr="00C41114">
        <w:rPr>
          <w:rFonts w:ascii="David" w:hAnsi="David" w:cs="David"/>
          <w:noProof/>
          <w:sz w:val="26"/>
          <w:szCs w:val="26"/>
        </w:rPr>
        <w:lastRenderedPageBreak/>
        <w:drawing>
          <wp:inline distT="0" distB="0" distL="0" distR="0" wp14:anchorId="219C3077" wp14:editId="2A9E99F8">
            <wp:extent cx="3331366" cy="2498725"/>
            <wp:effectExtent l="0" t="0" r="2540" b="0"/>
            <wp:docPr id="3" name="תמונה 3" descr="תמ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תמונה 3" descr="תמונה"/>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flipH="1">
                      <a:off x="0" y="0"/>
                      <a:ext cx="3336278" cy="2502409"/>
                    </a:xfrm>
                    <a:prstGeom prst="rect">
                      <a:avLst/>
                    </a:prstGeom>
                    <a:noFill/>
                    <a:ln>
                      <a:noFill/>
                    </a:ln>
                  </pic:spPr>
                </pic:pic>
              </a:graphicData>
            </a:graphic>
          </wp:inline>
        </w:drawing>
      </w:r>
    </w:p>
    <w:p w14:paraId="3EE93537" w14:textId="77777777" w:rsidR="00C41114" w:rsidRPr="00C41114" w:rsidRDefault="00C41114" w:rsidP="00C41114">
      <w:pPr>
        <w:pStyle w:val="NormalWeb"/>
        <w:spacing w:line="360" w:lineRule="auto"/>
        <w:jc w:val="right"/>
        <w:rPr>
          <w:rFonts w:ascii="David" w:hAnsi="David" w:cs="David"/>
          <w:sz w:val="26"/>
          <w:szCs w:val="26"/>
        </w:rPr>
      </w:pPr>
      <w:r w:rsidRPr="00C41114">
        <w:rPr>
          <w:rFonts w:ascii="David" w:hAnsi="David" w:cs="David"/>
          <w:sz w:val="26"/>
          <w:szCs w:val="26"/>
          <w:rtl/>
        </w:rPr>
        <w:t xml:space="preserve">ג'קוזי, דשא סינטטי, חלק מגדר המתכת וחלק </w:t>
      </w:r>
      <w:proofErr w:type="spellStart"/>
      <w:r w:rsidRPr="00C41114">
        <w:rPr>
          <w:rFonts w:ascii="David" w:hAnsi="David" w:cs="David"/>
          <w:sz w:val="26"/>
          <w:szCs w:val="26"/>
          <w:rtl/>
        </w:rPr>
        <w:t>מקונסטרוקצית</w:t>
      </w:r>
      <w:proofErr w:type="spellEnd"/>
      <w:r w:rsidRPr="00C41114">
        <w:rPr>
          <w:rFonts w:ascii="David" w:hAnsi="David" w:cs="David"/>
          <w:sz w:val="26"/>
          <w:szCs w:val="26"/>
          <w:rtl/>
        </w:rPr>
        <w:t xml:space="preserve"> הפרגולה שבנו הנתבעים - </w:t>
      </w:r>
    </w:p>
    <w:p w14:paraId="13AB5BE5" w14:textId="77777777" w:rsidR="00C41114" w:rsidRPr="00C41114" w:rsidRDefault="00C41114" w:rsidP="00C41114">
      <w:pPr>
        <w:pStyle w:val="NormalWeb"/>
        <w:spacing w:line="360" w:lineRule="auto"/>
        <w:rPr>
          <w:rFonts w:ascii="David" w:hAnsi="David" w:cs="David"/>
          <w:sz w:val="26"/>
          <w:szCs w:val="26"/>
        </w:rPr>
      </w:pPr>
      <w:r w:rsidRPr="00C41114">
        <w:rPr>
          <w:rFonts w:ascii="David" w:hAnsi="David" w:cs="David"/>
          <w:noProof/>
          <w:sz w:val="26"/>
          <w:szCs w:val="26"/>
        </w:rPr>
        <w:drawing>
          <wp:inline distT="0" distB="0" distL="0" distR="0" wp14:anchorId="007869D1" wp14:editId="1860B304">
            <wp:extent cx="2586038" cy="3448050"/>
            <wp:effectExtent l="0" t="0" r="5080" b="0"/>
            <wp:docPr id="4" name="תמונה 4" descr="תמ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תמונה 4" descr="תמונה"/>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88809" cy="3451745"/>
                    </a:xfrm>
                    <a:prstGeom prst="rect">
                      <a:avLst/>
                    </a:prstGeom>
                    <a:noFill/>
                    <a:ln>
                      <a:noFill/>
                    </a:ln>
                  </pic:spPr>
                </pic:pic>
              </a:graphicData>
            </a:graphic>
          </wp:inline>
        </w:drawing>
      </w:r>
    </w:p>
    <w:p w14:paraId="2FF11CA9" w14:textId="77777777" w:rsidR="00C41114" w:rsidRPr="00C41114" w:rsidRDefault="00C41114" w:rsidP="00C41114">
      <w:pPr>
        <w:pStyle w:val="NormalWeb"/>
        <w:spacing w:line="360" w:lineRule="auto"/>
        <w:jc w:val="right"/>
        <w:rPr>
          <w:rFonts w:ascii="David" w:hAnsi="David" w:cs="David"/>
          <w:sz w:val="26"/>
          <w:szCs w:val="26"/>
          <w:rtl/>
        </w:rPr>
      </w:pPr>
      <w:r w:rsidRPr="00C41114">
        <w:rPr>
          <w:rFonts w:ascii="David" w:hAnsi="David" w:cs="David"/>
          <w:sz w:val="26"/>
          <w:szCs w:val="26"/>
          <w:rtl/>
        </w:rPr>
        <w:t xml:space="preserve">מטבח חצר, דק, וחלק מהפרגולה – </w:t>
      </w:r>
    </w:p>
    <w:p w14:paraId="4FE54946" w14:textId="77777777" w:rsidR="00C41114" w:rsidRPr="00C41114" w:rsidRDefault="00C41114" w:rsidP="00C41114">
      <w:pPr>
        <w:pStyle w:val="NormalWeb"/>
        <w:spacing w:line="360" w:lineRule="auto"/>
        <w:rPr>
          <w:rFonts w:ascii="David" w:hAnsi="David" w:cs="David"/>
          <w:sz w:val="26"/>
          <w:szCs w:val="26"/>
        </w:rPr>
      </w:pPr>
      <w:r w:rsidRPr="00C41114">
        <w:rPr>
          <w:rFonts w:ascii="David" w:hAnsi="David" w:cs="David"/>
          <w:noProof/>
          <w:sz w:val="26"/>
          <w:szCs w:val="26"/>
        </w:rPr>
        <w:lastRenderedPageBreak/>
        <w:drawing>
          <wp:inline distT="0" distB="0" distL="0" distR="0" wp14:anchorId="1FB36E67" wp14:editId="7CFC07A8">
            <wp:extent cx="2493169" cy="3324225"/>
            <wp:effectExtent l="0" t="0" r="2540" b="0"/>
            <wp:docPr id="5" name="תמונה 5" descr="תמ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תמונה 5" descr="תמונה"/>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99500" cy="3332667"/>
                    </a:xfrm>
                    <a:prstGeom prst="rect">
                      <a:avLst/>
                    </a:prstGeom>
                    <a:noFill/>
                    <a:ln>
                      <a:noFill/>
                    </a:ln>
                  </pic:spPr>
                </pic:pic>
              </a:graphicData>
            </a:graphic>
          </wp:inline>
        </w:drawing>
      </w:r>
    </w:p>
    <w:p w14:paraId="2A38E004" w14:textId="77777777" w:rsidR="00C41114" w:rsidRPr="00C41114" w:rsidRDefault="00C41114" w:rsidP="00C41114">
      <w:pPr>
        <w:pStyle w:val="ac"/>
        <w:spacing w:line="360" w:lineRule="auto"/>
        <w:jc w:val="both"/>
        <w:rPr>
          <w:rFonts w:ascii="David" w:hAnsi="David"/>
          <w:sz w:val="26"/>
          <w:szCs w:val="26"/>
          <w:rtl/>
        </w:rPr>
      </w:pPr>
    </w:p>
    <w:p w14:paraId="62F6CE45" w14:textId="77777777" w:rsidR="00C41114" w:rsidRPr="00C41114" w:rsidRDefault="00C41114" w:rsidP="00C41114">
      <w:pPr>
        <w:pStyle w:val="ac"/>
        <w:spacing w:line="360" w:lineRule="auto"/>
        <w:jc w:val="both"/>
        <w:rPr>
          <w:rFonts w:ascii="David" w:hAnsi="David"/>
          <w:sz w:val="26"/>
          <w:szCs w:val="26"/>
        </w:rPr>
      </w:pPr>
    </w:p>
    <w:p w14:paraId="31541E96" w14:textId="77777777" w:rsidR="00C41114" w:rsidRPr="00C41114" w:rsidRDefault="00C41114" w:rsidP="00C41114">
      <w:pPr>
        <w:pStyle w:val="ac"/>
        <w:numPr>
          <w:ilvl w:val="0"/>
          <w:numId w:val="15"/>
        </w:numPr>
        <w:spacing w:line="360" w:lineRule="auto"/>
        <w:jc w:val="both"/>
        <w:rPr>
          <w:rFonts w:ascii="David" w:hAnsi="David"/>
          <w:sz w:val="26"/>
          <w:szCs w:val="26"/>
        </w:rPr>
      </w:pPr>
      <w:r w:rsidRPr="00C41114">
        <w:rPr>
          <w:rFonts w:ascii="David" w:hAnsi="David"/>
          <w:sz w:val="26"/>
          <w:szCs w:val="26"/>
          <w:rtl/>
        </w:rPr>
        <w:t xml:space="preserve">כאמור, בדיון מיום 27.1.2025 הסכימו הנתבעים לפנות את כל החפצים המוצבים על הגג המשותף, לרבות הג'קוזי, בתוך 90 יום, ולא להניח על הגג חפצים באופן קבוע, ונקבע בהחלטה כי מותר להם להעלות לגג ריהוט קל בלבד שם שימוש </w:t>
      </w:r>
      <w:proofErr w:type="spellStart"/>
      <w:r w:rsidRPr="00C41114">
        <w:rPr>
          <w:rFonts w:ascii="David" w:hAnsi="David"/>
          <w:sz w:val="26"/>
          <w:szCs w:val="26"/>
          <w:rtl/>
        </w:rPr>
        <w:t>מיידי</w:t>
      </w:r>
      <w:proofErr w:type="spellEnd"/>
      <w:r w:rsidRPr="00C41114">
        <w:rPr>
          <w:rFonts w:ascii="David" w:hAnsi="David"/>
          <w:sz w:val="26"/>
          <w:szCs w:val="26"/>
          <w:rtl/>
        </w:rPr>
        <w:t xml:space="preserve"> להוצאתו מהגג לאחר השימוש (עמוד 2 שורות 39-43). למען הסר ספק, ניתן תוקף של פסק דין להסכמות אלו של הנתבעים. </w:t>
      </w:r>
    </w:p>
    <w:p w14:paraId="03261B17" w14:textId="77777777" w:rsidR="00C41114" w:rsidRPr="00C41114" w:rsidRDefault="00C41114" w:rsidP="00C41114">
      <w:pPr>
        <w:pStyle w:val="ac"/>
        <w:spacing w:line="360" w:lineRule="auto"/>
        <w:jc w:val="both"/>
        <w:rPr>
          <w:rFonts w:ascii="David" w:hAnsi="David"/>
          <w:sz w:val="26"/>
          <w:szCs w:val="26"/>
          <w:rtl/>
        </w:rPr>
      </w:pPr>
    </w:p>
    <w:p w14:paraId="67E9F67A" w14:textId="77777777" w:rsidR="00C41114" w:rsidRPr="00C41114" w:rsidRDefault="00C41114" w:rsidP="00C41114">
      <w:pPr>
        <w:pStyle w:val="ac"/>
        <w:spacing w:line="360" w:lineRule="auto"/>
        <w:jc w:val="both"/>
        <w:rPr>
          <w:rFonts w:ascii="David" w:hAnsi="David"/>
          <w:sz w:val="26"/>
          <w:szCs w:val="26"/>
          <w:rtl/>
        </w:rPr>
      </w:pPr>
      <w:r w:rsidRPr="00C41114">
        <w:rPr>
          <w:rFonts w:ascii="David" w:hAnsi="David"/>
          <w:sz w:val="26"/>
          <w:szCs w:val="26"/>
          <w:rtl/>
        </w:rPr>
        <w:t xml:space="preserve">לאור הסכמות אלו, נותר להכריע באשר למתקנים הקבועים המוצבים על הגג כפי שנצפו בעת הביקור במקום, ובכללם הפרגולה, וכן התבקש לתת לתובעת גישה סבירה לגג ולמערכות הנמצאות עליו. </w:t>
      </w:r>
    </w:p>
    <w:p w14:paraId="15A19E36" w14:textId="77777777" w:rsidR="00C41114" w:rsidRPr="00C41114" w:rsidRDefault="00C41114" w:rsidP="00C41114">
      <w:pPr>
        <w:pStyle w:val="ac"/>
        <w:spacing w:line="360" w:lineRule="auto"/>
        <w:jc w:val="both"/>
        <w:rPr>
          <w:rFonts w:ascii="David" w:hAnsi="David"/>
          <w:sz w:val="26"/>
          <w:szCs w:val="26"/>
        </w:rPr>
      </w:pPr>
    </w:p>
    <w:p w14:paraId="743F39B5" w14:textId="77777777" w:rsidR="00C41114" w:rsidRPr="00C41114" w:rsidRDefault="00C41114" w:rsidP="00C41114">
      <w:pPr>
        <w:pStyle w:val="ac"/>
        <w:numPr>
          <w:ilvl w:val="0"/>
          <w:numId w:val="15"/>
        </w:numPr>
        <w:spacing w:line="360" w:lineRule="auto"/>
        <w:jc w:val="both"/>
        <w:rPr>
          <w:rFonts w:ascii="David" w:hAnsi="David"/>
          <w:sz w:val="26"/>
          <w:szCs w:val="26"/>
        </w:rPr>
      </w:pPr>
      <w:r w:rsidRPr="00C41114">
        <w:rPr>
          <w:rFonts w:ascii="David" w:hAnsi="David"/>
          <w:sz w:val="26"/>
          <w:szCs w:val="26"/>
          <w:rtl/>
        </w:rPr>
        <w:t xml:space="preserve">מכיוון שעולה שיש בהצבת הפרגולה ויתר המתקנים שהתקינו הנתבעים על הגג, בנסיבות האמורות משום שימוש ייחודי של הנתבעים בגג המשותף, אני קובעת שעל הנתבעים לפרק בתוך 60 יום את הפרגולה המוצבת על הגג, לרבות הקונסטרוקציה, העמודים לצד הפרגולה, הדק, </w:t>
      </w:r>
      <w:proofErr w:type="spellStart"/>
      <w:r w:rsidRPr="00C41114">
        <w:rPr>
          <w:rFonts w:ascii="David" w:hAnsi="David"/>
          <w:sz w:val="26"/>
          <w:szCs w:val="26"/>
          <w:rtl/>
        </w:rPr>
        <w:t>הוילונות</w:t>
      </w:r>
      <w:proofErr w:type="spellEnd"/>
      <w:r w:rsidRPr="00C41114">
        <w:rPr>
          <w:rFonts w:ascii="David" w:hAnsi="David"/>
          <w:sz w:val="26"/>
          <w:szCs w:val="26"/>
          <w:rtl/>
        </w:rPr>
        <w:t xml:space="preserve"> המגולגלים, </w:t>
      </w:r>
      <w:proofErr w:type="spellStart"/>
      <w:r w:rsidRPr="00C41114">
        <w:rPr>
          <w:rFonts w:ascii="David" w:hAnsi="David"/>
          <w:sz w:val="26"/>
          <w:szCs w:val="26"/>
          <w:rtl/>
        </w:rPr>
        <w:t>הסנטף</w:t>
      </w:r>
      <w:proofErr w:type="spellEnd"/>
      <w:r w:rsidRPr="00C41114">
        <w:rPr>
          <w:rFonts w:ascii="David" w:hAnsi="David"/>
          <w:sz w:val="26"/>
          <w:szCs w:val="26"/>
          <w:rtl/>
        </w:rPr>
        <w:t xml:space="preserve">, הדשא הסינטטי והברזים. באשר לגדר המתכת, אני סבורה כי אין בעצם הצבתה משום סממן של </w:t>
      </w:r>
      <w:r w:rsidRPr="00C41114">
        <w:rPr>
          <w:rFonts w:ascii="David" w:hAnsi="David"/>
          <w:sz w:val="26"/>
          <w:szCs w:val="26"/>
          <w:rtl/>
        </w:rPr>
        <w:lastRenderedPageBreak/>
        <w:t xml:space="preserve">שימוש ייחודי, ואין בהחלטת יתר בעלי הדירות לאשרה כדי לפגוע בתובעת. זאת משום שגם אם הגג ישמש למתקנים טכניים בלבד או לשימוש אקראי של מי מבעלי הדירות, הרי שמבחינה בטיחותית עדיפה גדר גבוהה על פני גדר האבן המקורית הנמוכה שהייתה במקום. </w:t>
      </w:r>
    </w:p>
    <w:p w14:paraId="3895C885" w14:textId="77777777" w:rsidR="00C41114" w:rsidRPr="00C41114" w:rsidRDefault="00C41114" w:rsidP="00C41114">
      <w:pPr>
        <w:pStyle w:val="ac"/>
        <w:spacing w:line="360" w:lineRule="auto"/>
        <w:jc w:val="both"/>
        <w:rPr>
          <w:rFonts w:ascii="David" w:hAnsi="David"/>
          <w:sz w:val="26"/>
          <w:szCs w:val="26"/>
        </w:rPr>
      </w:pPr>
    </w:p>
    <w:p w14:paraId="653A6238" w14:textId="77777777" w:rsidR="00C41114" w:rsidRPr="00C41114" w:rsidRDefault="00C41114" w:rsidP="00C41114">
      <w:pPr>
        <w:pStyle w:val="ac"/>
        <w:numPr>
          <w:ilvl w:val="0"/>
          <w:numId w:val="15"/>
        </w:numPr>
        <w:spacing w:line="360" w:lineRule="auto"/>
        <w:jc w:val="both"/>
        <w:rPr>
          <w:rFonts w:ascii="David" w:hAnsi="David"/>
          <w:sz w:val="26"/>
          <w:szCs w:val="26"/>
        </w:rPr>
      </w:pPr>
      <w:r w:rsidRPr="00C41114">
        <w:rPr>
          <w:rFonts w:ascii="David" w:hAnsi="David"/>
          <w:sz w:val="26"/>
          <w:szCs w:val="26"/>
          <w:rtl/>
        </w:rPr>
        <w:t>באשר לטענות לרטיבות מדירת הנתבעים או מהגג המשותף הרי שמדובר בעניינים שבמומחיות, והטענה לא הוכחה, ועל כן אני מורה על מחיקתה (ממילא ככל שאכן קיימת רטיבות מדירת הנתבעים לדירת התובעת, וככל שהרטיבות תמשיך גם לאחר פירוק המתקנים מהגג המשותף, הרי שנראה שמדובר בנסיבות מתמשכות אשר ניתן יהיה להגיש בעניינן תביעה בעתיד ככל שיימצא מקום לכך).</w:t>
      </w:r>
    </w:p>
    <w:p w14:paraId="0BD6D843" w14:textId="77777777" w:rsidR="00C41114" w:rsidRPr="00C41114" w:rsidRDefault="00C41114" w:rsidP="00C41114">
      <w:pPr>
        <w:pStyle w:val="ac"/>
        <w:spacing w:line="360" w:lineRule="auto"/>
        <w:jc w:val="both"/>
        <w:rPr>
          <w:rFonts w:ascii="David" w:hAnsi="David"/>
          <w:sz w:val="26"/>
          <w:szCs w:val="26"/>
        </w:rPr>
      </w:pPr>
    </w:p>
    <w:p w14:paraId="4C33349E" w14:textId="77777777" w:rsidR="00C41114" w:rsidRPr="00C41114" w:rsidRDefault="00C41114" w:rsidP="00C41114">
      <w:pPr>
        <w:pStyle w:val="ac"/>
        <w:numPr>
          <w:ilvl w:val="0"/>
          <w:numId w:val="15"/>
        </w:numPr>
        <w:spacing w:line="360" w:lineRule="auto"/>
        <w:jc w:val="both"/>
        <w:rPr>
          <w:rFonts w:ascii="David" w:hAnsi="David"/>
          <w:sz w:val="26"/>
          <w:szCs w:val="26"/>
        </w:rPr>
      </w:pPr>
      <w:r w:rsidRPr="00C41114">
        <w:rPr>
          <w:rFonts w:ascii="David" w:hAnsi="David"/>
          <w:sz w:val="26"/>
          <w:szCs w:val="26"/>
          <w:rtl/>
        </w:rPr>
        <w:t xml:space="preserve">בשולי הדברים יוער כי הנתבעת רכשה דירת עם חצר צמודה, ועל כן, עצם השימוש בחצר הצמודה היא זכות של הנתבעת, עליה שילמה במסגרת רכישת הדירה. לעומת זאת, הנתבעים לא רכשו גג צמוד לדירתם, וככל שברצונם לרכוש את הגג שמעל דירת כך שיוצמד קניינית לדירתם ויוכל לשמש אותם באופן בלעדי, הרי שיש לכך עלויות, וכן הדבר דורש הסכמה של כל בעלי הדירות, והנתבעים אינם רשאים לזכות "מן ההפקר" ולהשתמש בגג כאילו הוא שייך לדירתם, מבלי שרכשו אותו. </w:t>
      </w:r>
    </w:p>
    <w:p w14:paraId="637666AA" w14:textId="77777777" w:rsidR="00C41114" w:rsidRPr="00C41114" w:rsidRDefault="00C41114" w:rsidP="00C41114">
      <w:pPr>
        <w:pStyle w:val="ac"/>
        <w:spacing w:line="360" w:lineRule="auto"/>
        <w:rPr>
          <w:rFonts w:ascii="David" w:hAnsi="David"/>
          <w:sz w:val="26"/>
          <w:szCs w:val="26"/>
          <w:rtl/>
        </w:rPr>
      </w:pPr>
    </w:p>
    <w:p w14:paraId="504D7CB8" w14:textId="77777777" w:rsidR="00C41114" w:rsidRPr="00C41114" w:rsidRDefault="00C41114" w:rsidP="00C41114">
      <w:pPr>
        <w:pStyle w:val="ac"/>
        <w:spacing w:line="360" w:lineRule="auto"/>
        <w:jc w:val="both"/>
        <w:rPr>
          <w:rFonts w:ascii="David" w:hAnsi="David"/>
          <w:sz w:val="26"/>
          <w:szCs w:val="26"/>
          <w:rtl/>
        </w:rPr>
      </w:pPr>
      <w:r w:rsidRPr="00C41114">
        <w:rPr>
          <w:rFonts w:ascii="David" w:hAnsi="David"/>
          <w:sz w:val="26"/>
          <w:szCs w:val="26"/>
          <w:rtl/>
        </w:rPr>
        <w:t xml:space="preserve">בשל נסיבות אלו, הוצע לצדדים להגיע להסכמות הכוללת העמדת סכום מסוים לטובת הנתבעת, אשר הביעה נכונות למכור את דירתה ככל שתקבל על דירתה מחיר מינימלי מסוים (כאשר לטענתה השימוש בגג פוגע בערך דירתה), אולם עולה כי הצדדים לא הגיעו להסכמות כאמור. </w:t>
      </w:r>
    </w:p>
    <w:p w14:paraId="47B68D70" w14:textId="77777777" w:rsidR="00C41114" w:rsidRPr="00C41114" w:rsidRDefault="00C41114" w:rsidP="00C41114">
      <w:pPr>
        <w:pStyle w:val="ac"/>
        <w:spacing w:line="360" w:lineRule="auto"/>
        <w:jc w:val="both"/>
        <w:rPr>
          <w:rFonts w:ascii="David" w:hAnsi="David"/>
          <w:sz w:val="26"/>
          <w:szCs w:val="26"/>
          <w:rtl/>
        </w:rPr>
      </w:pPr>
    </w:p>
    <w:p w14:paraId="415CDF6C" w14:textId="77777777" w:rsidR="00C41114" w:rsidRPr="00C41114" w:rsidRDefault="00C41114" w:rsidP="00C41114">
      <w:pPr>
        <w:pStyle w:val="ac"/>
        <w:numPr>
          <w:ilvl w:val="0"/>
          <w:numId w:val="15"/>
        </w:numPr>
        <w:spacing w:line="360" w:lineRule="auto"/>
        <w:jc w:val="both"/>
        <w:rPr>
          <w:rFonts w:ascii="David" w:hAnsi="David"/>
          <w:sz w:val="26"/>
          <w:szCs w:val="26"/>
        </w:rPr>
      </w:pPr>
      <w:r w:rsidRPr="00C41114">
        <w:rPr>
          <w:rFonts w:ascii="David" w:hAnsi="David"/>
          <w:sz w:val="26"/>
          <w:szCs w:val="26"/>
          <w:rtl/>
        </w:rPr>
        <w:t xml:space="preserve">לאור כל האמור לעיל, התביעה מתקבלת בעיקרה, כך שעל הנתבעים לפרק את המתקנים שהתקינו על גג הבית המשותף כאמור לעיל, ולהשיב את המצב לקדמותו הן לעניין מיקום האנטנה והן לעניין מיקום דוד השמש של התובעת. טענות הנתבעים שדודי השמש הוזזו לפני 8 שנים לצורך איטום הגג ולא לצורך התקנת הפרגולה אינן רלוונטיות, הנתבעים לא היו זכאים להחליט על דעת עצמם על מיקום שונה לדודי השמש של הנתבעת, והזזתם מהווה פגיעה ברכושה. יובהר כי אין באמור כדי למנוע מהנתבעים, כמו גם מהתובעת, לבצע שימוש סביר בגג האמור, כאשר הכוונה היא בין היתר להעלאת ריהוט באופן זמני לזמן השימוש בלבד, כגון לצורך אירוח, </w:t>
      </w:r>
      <w:r w:rsidRPr="00C41114">
        <w:rPr>
          <w:rFonts w:ascii="David" w:hAnsi="David"/>
          <w:sz w:val="26"/>
          <w:szCs w:val="26"/>
          <w:rtl/>
        </w:rPr>
        <w:lastRenderedPageBreak/>
        <w:t>והוצאתו מהגג המשותף מייד לאחר סיום השימוש. כמו כן על הנתבעים לאפשר לתובעת או למי מטעמה לעלות לגג באופן סביר לאחר תיאום מראש.</w:t>
      </w:r>
    </w:p>
    <w:p w14:paraId="22F414FE" w14:textId="77777777" w:rsidR="00C41114" w:rsidRPr="00C41114" w:rsidRDefault="00C41114" w:rsidP="00C41114">
      <w:pPr>
        <w:pStyle w:val="ac"/>
        <w:spacing w:line="360" w:lineRule="auto"/>
        <w:jc w:val="both"/>
        <w:rPr>
          <w:rFonts w:ascii="David" w:hAnsi="David"/>
          <w:sz w:val="26"/>
          <w:szCs w:val="26"/>
        </w:rPr>
      </w:pPr>
    </w:p>
    <w:p w14:paraId="08D61730" w14:textId="40D6D959" w:rsidR="00C41114" w:rsidRPr="00C41114" w:rsidRDefault="00C41114" w:rsidP="00C41114">
      <w:pPr>
        <w:pStyle w:val="ac"/>
        <w:numPr>
          <w:ilvl w:val="0"/>
          <w:numId w:val="15"/>
        </w:numPr>
        <w:spacing w:line="360" w:lineRule="auto"/>
        <w:jc w:val="both"/>
        <w:rPr>
          <w:rFonts w:ascii="David" w:hAnsi="David"/>
          <w:sz w:val="26"/>
          <w:szCs w:val="26"/>
        </w:rPr>
      </w:pPr>
      <w:r w:rsidRPr="00C41114">
        <w:rPr>
          <w:rFonts w:ascii="David" w:hAnsi="David"/>
          <w:sz w:val="26"/>
          <w:szCs w:val="26"/>
          <w:rtl/>
        </w:rPr>
        <w:t xml:space="preserve">בשל קבלת עיקר התביעה, ועם זאת בשל ההסדר הדיוני במסגרתו ויתרו הצדדים על הליך הוכחות, ישלמו הנתבעים לתובעת הוצאותיה באופן מופחת, בסך של 8,000 ₪. </w:t>
      </w:r>
    </w:p>
    <w:p w14:paraId="42ADD0E7" w14:textId="77777777" w:rsidR="00C41114" w:rsidRPr="00C41114" w:rsidRDefault="00C41114" w:rsidP="00C41114">
      <w:pPr>
        <w:pStyle w:val="ac"/>
        <w:spacing w:line="360" w:lineRule="auto"/>
        <w:rPr>
          <w:rFonts w:ascii="David" w:hAnsi="David"/>
          <w:sz w:val="26"/>
          <w:szCs w:val="26"/>
          <w:rtl/>
        </w:rPr>
      </w:pPr>
    </w:p>
    <w:p w14:paraId="24780024" w14:textId="200BE615" w:rsidR="00C41114" w:rsidRDefault="00C41114" w:rsidP="00D00464">
      <w:pPr>
        <w:spacing w:line="360" w:lineRule="auto"/>
        <w:rPr>
          <w:rFonts w:ascii="David" w:hAnsi="David"/>
          <w:sz w:val="24"/>
          <w:rtl/>
        </w:rPr>
      </w:pPr>
      <w:r>
        <w:rPr>
          <w:rFonts w:ascii="David" w:hAnsi="David" w:hint="cs"/>
          <w:sz w:val="24"/>
          <w:rtl/>
        </w:rPr>
        <w:t xml:space="preserve">ניתן היום, </w:t>
      </w:r>
      <w:r>
        <w:rPr>
          <w:rFonts w:ascii="David" w:hAnsi="David"/>
          <w:sz w:val="24"/>
          <w:rtl/>
        </w:rPr>
        <w:fldChar w:fldCharType="begin"/>
      </w:r>
      <w:r>
        <w:rPr>
          <w:rFonts w:ascii="David" w:hAnsi="David"/>
          <w:sz w:val="24"/>
          <w:rtl/>
        </w:rPr>
        <w:instrText xml:space="preserve"> </w:instrText>
      </w:r>
      <w:r>
        <w:rPr>
          <w:rFonts w:ascii="David" w:hAnsi="David" w:hint="cs"/>
          <w:sz w:val="24"/>
        </w:rPr>
        <w:instrText>DATE</w:instrText>
      </w:r>
      <w:r>
        <w:rPr>
          <w:rFonts w:ascii="David" w:hAnsi="David" w:hint="cs"/>
          <w:sz w:val="24"/>
          <w:rtl/>
        </w:rPr>
        <w:instrText xml:space="preserve"> \@ "</w:instrText>
      </w:r>
      <w:r>
        <w:rPr>
          <w:rFonts w:ascii="David" w:hAnsi="David" w:hint="cs"/>
          <w:sz w:val="24"/>
        </w:rPr>
        <w:instrText>dd MMMM yyyy" \h</w:instrText>
      </w:r>
      <w:r>
        <w:rPr>
          <w:rFonts w:ascii="David" w:hAnsi="David"/>
          <w:sz w:val="24"/>
          <w:rtl/>
        </w:rPr>
        <w:instrText xml:space="preserve"> </w:instrText>
      </w:r>
      <w:r>
        <w:rPr>
          <w:rFonts w:ascii="David" w:hAnsi="David"/>
          <w:sz w:val="24"/>
          <w:rtl/>
        </w:rPr>
        <w:fldChar w:fldCharType="separate"/>
      </w:r>
      <w:r w:rsidR="00990DAA">
        <w:rPr>
          <w:rFonts w:ascii="David" w:hAnsi="David"/>
          <w:noProof/>
          <w:sz w:val="24"/>
          <w:rtl/>
        </w:rPr>
        <w:t>‏כ"ז תמוז תשפ"ה</w:t>
      </w:r>
      <w:r>
        <w:rPr>
          <w:rFonts w:ascii="David" w:hAnsi="David"/>
          <w:sz w:val="24"/>
          <w:rtl/>
        </w:rPr>
        <w:fldChar w:fldCharType="end"/>
      </w:r>
      <w:r>
        <w:rPr>
          <w:rFonts w:ascii="David" w:hAnsi="David" w:hint="cs"/>
          <w:sz w:val="24"/>
          <w:rtl/>
        </w:rPr>
        <w:t xml:space="preserve">, </w:t>
      </w:r>
      <w:r>
        <w:rPr>
          <w:rFonts w:ascii="David" w:hAnsi="David"/>
          <w:sz w:val="24"/>
          <w:rtl/>
        </w:rPr>
        <w:fldChar w:fldCharType="begin"/>
      </w:r>
      <w:r>
        <w:rPr>
          <w:rFonts w:ascii="David" w:hAnsi="David"/>
          <w:sz w:val="24"/>
          <w:rtl/>
        </w:rPr>
        <w:instrText xml:space="preserve"> </w:instrText>
      </w:r>
      <w:r>
        <w:rPr>
          <w:rFonts w:ascii="David" w:hAnsi="David" w:hint="cs"/>
          <w:sz w:val="24"/>
        </w:rPr>
        <w:instrText>DATE</w:instrText>
      </w:r>
      <w:r>
        <w:rPr>
          <w:rFonts w:ascii="David" w:hAnsi="David" w:hint="cs"/>
          <w:sz w:val="24"/>
          <w:rtl/>
        </w:rPr>
        <w:instrText xml:space="preserve"> \@ "</w:instrText>
      </w:r>
      <w:r>
        <w:rPr>
          <w:rFonts w:ascii="David" w:hAnsi="David" w:hint="cs"/>
          <w:sz w:val="24"/>
        </w:rPr>
        <w:instrText>dd MMMM yyyy</w:instrText>
      </w:r>
      <w:r>
        <w:rPr>
          <w:rFonts w:ascii="David" w:hAnsi="David" w:hint="cs"/>
          <w:sz w:val="24"/>
          <w:rtl/>
        </w:rPr>
        <w:instrText>"</w:instrText>
      </w:r>
      <w:r>
        <w:rPr>
          <w:rFonts w:ascii="David" w:hAnsi="David"/>
          <w:sz w:val="24"/>
          <w:rtl/>
        </w:rPr>
        <w:instrText xml:space="preserve"> </w:instrText>
      </w:r>
      <w:r>
        <w:rPr>
          <w:rFonts w:ascii="David" w:hAnsi="David"/>
          <w:sz w:val="24"/>
          <w:rtl/>
        </w:rPr>
        <w:fldChar w:fldCharType="separate"/>
      </w:r>
      <w:r w:rsidR="00990DAA">
        <w:rPr>
          <w:rFonts w:ascii="David" w:hAnsi="David"/>
          <w:noProof/>
          <w:sz w:val="24"/>
          <w:rtl/>
        </w:rPr>
        <w:t>‏23 יולי 2025</w:t>
      </w:r>
      <w:r>
        <w:rPr>
          <w:rFonts w:ascii="David" w:hAnsi="David"/>
          <w:sz w:val="24"/>
          <w:rtl/>
        </w:rPr>
        <w:fldChar w:fldCharType="end"/>
      </w:r>
      <w:r>
        <w:rPr>
          <w:rFonts w:ascii="David" w:hAnsi="David" w:hint="cs"/>
          <w:sz w:val="24"/>
          <w:rtl/>
        </w:rPr>
        <w:t>, בהיעדר הצדדים</w:t>
      </w:r>
    </w:p>
    <w:p w14:paraId="2AAA24FE" w14:textId="6BBEAE91" w:rsidR="00C41114" w:rsidRDefault="00C41114" w:rsidP="00D00464">
      <w:pPr>
        <w:spacing w:line="360" w:lineRule="auto"/>
        <w:rPr>
          <w:rFonts w:ascii="David" w:hAnsi="David"/>
          <w:sz w:val="24"/>
          <w:rtl/>
        </w:rPr>
      </w:pP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p>
    <w:p w14:paraId="5C59FBCA" w14:textId="77777777" w:rsidR="00C41114" w:rsidRDefault="00C41114" w:rsidP="006A1519">
      <w:pPr>
        <w:jc w:val="both"/>
        <w:rPr>
          <w:rFonts w:ascii="David" w:hAnsi="David"/>
          <w:sz w:val="24"/>
          <w:rtl/>
        </w:rPr>
      </w:pP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hint="cs"/>
          <w:sz w:val="24"/>
          <w:rtl/>
        </w:rPr>
        <w:t>אביטל שרייבר</w:t>
      </w:r>
    </w:p>
    <w:p w14:paraId="031D5438" w14:textId="77777777" w:rsidR="00C41114" w:rsidRDefault="00C41114" w:rsidP="006A1519">
      <w:pPr>
        <w:jc w:val="both"/>
        <w:rPr>
          <w:rFonts w:ascii="David" w:hAnsi="David"/>
          <w:sz w:val="24"/>
          <w:rtl/>
        </w:rPr>
      </w:pP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hint="cs"/>
          <w:sz w:val="24"/>
          <w:rtl/>
        </w:rPr>
        <w:t>מפקחת בכירה על רישום מקרקעין</w:t>
      </w:r>
    </w:p>
    <w:p w14:paraId="1734A809" w14:textId="77777777" w:rsidR="00C41114" w:rsidRPr="00D00464" w:rsidRDefault="00C41114" w:rsidP="006A1519">
      <w:pPr>
        <w:jc w:val="both"/>
        <w:rPr>
          <w:rFonts w:ascii="David" w:hAnsi="David"/>
          <w:sz w:val="24"/>
        </w:rPr>
      </w:pP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hint="cs"/>
          <w:sz w:val="24"/>
          <w:rtl/>
        </w:rPr>
        <w:t xml:space="preserve">     ירושלים</w:t>
      </w:r>
    </w:p>
    <w:p w14:paraId="0D5CF849" w14:textId="16751374" w:rsidR="00C41114" w:rsidRPr="00EC0F5C" w:rsidRDefault="00C41114" w:rsidP="00C41114">
      <w:pPr>
        <w:spacing w:line="276" w:lineRule="auto"/>
        <w:jc w:val="both"/>
        <w:rPr>
          <w:rtl/>
        </w:rPr>
      </w:pPr>
    </w:p>
    <w:p w14:paraId="184447C9" w14:textId="77777777" w:rsidR="00C41114" w:rsidRPr="008A7D76" w:rsidRDefault="00C41114" w:rsidP="00C41114">
      <w:pPr>
        <w:spacing w:line="276" w:lineRule="auto"/>
        <w:jc w:val="both"/>
        <w:rPr>
          <w:rtl/>
        </w:rPr>
      </w:pPr>
    </w:p>
    <w:p w14:paraId="7DBE4B98" w14:textId="77777777" w:rsidR="00BF226D" w:rsidRPr="008A7D76" w:rsidRDefault="00BF226D" w:rsidP="00C41114">
      <w:pPr>
        <w:spacing w:before="200"/>
        <w:ind w:firstLine="720"/>
        <w:contextualSpacing w:val="0"/>
        <w:jc w:val="center"/>
        <w:rPr>
          <w:rtl/>
        </w:rPr>
      </w:pPr>
    </w:p>
    <w:sectPr w:rsidR="00BF226D" w:rsidRPr="008A7D76" w:rsidSect="00B06DCB">
      <w:headerReference w:type="default" r:id="rId27"/>
      <w:footerReference w:type="default" r:id="rId28"/>
      <w:pgSz w:w="11906" w:h="16838"/>
      <w:pgMar w:top="1078"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A84225" w14:textId="77777777" w:rsidR="001E0C20" w:rsidRDefault="001E0C20" w:rsidP="00E6645A">
      <w:r>
        <w:separator/>
      </w:r>
    </w:p>
  </w:endnote>
  <w:endnote w:type="continuationSeparator" w:id="0">
    <w:p w14:paraId="79ED7B13" w14:textId="77777777" w:rsidR="001E0C20" w:rsidRDefault="001E0C20" w:rsidP="00E66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71306542"/>
      <w:docPartObj>
        <w:docPartGallery w:val="Page Numbers (Bottom of Page)"/>
        <w:docPartUnique/>
      </w:docPartObj>
    </w:sdtPr>
    <w:sdtEndPr>
      <w:rPr>
        <w:rFonts w:ascii="David" w:hAnsi="David"/>
        <w:b/>
        <w:bCs/>
        <w:noProof/>
        <w:sz w:val="24"/>
      </w:rPr>
    </w:sdtEndPr>
    <w:sdtContent>
      <w:p w14:paraId="4D25C684" w14:textId="77777777" w:rsidR="00AA5F44" w:rsidRPr="008E0BDC" w:rsidRDefault="00AA5F44">
        <w:pPr>
          <w:pStyle w:val="a8"/>
          <w:jc w:val="center"/>
          <w:rPr>
            <w:rFonts w:ascii="David" w:hAnsi="David"/>
            <w:b/>
            <w:bCs/>
            <w:sz w:val="24"/>
          </w:rPr>
        </w:pPr>
        <w:r w:rsidRPr="008E0BDC">
          <w:rPr>
            <w:rFonts w:ascii="David" w:hAnsi="David" w:hint="cs"/>
            <w:b/>
            <w:bCs/>
            <w:sz w:val="24"/>
            <w:rtl/>
          </w:rPr>
          <w:t xml:space="preserve">עמוד </w:t>
        </w:r>
        <w:r w:rsidR="005E2F01">
          <w:fldChar w:fldCharType="begin"/>
        </w:r>
        <w:r w:rsidR="005E2F01">
          <w:instrText xml:space="preserve"> PAGE   \* MERGEFORMAT </w:instrText>
        </w:r>
        <w:r w:rsidR="005E2F01">
          <w:fldChar w:fldCharType="separate"/>
        </w:r>
        <w:r w:rsidR="00C41114">
          <w:rPr>
            <w:noProof/>
            <w:rtl/>
          </w:rPr>
          <w:t>1</w:t>
        </w:r>
        <w:r w:rsidR="005E2F01">
          <w:fldChar w:fldCharType="end"/>
        </w:r>
      </w:p>
    </w:sdtContent>
  </w:sdt>
  <w:p w14:paraId="3D3D853A" w14:textId="77777777" w:rsidR="00257FA6" w:rsidRPr="00C60A02" w:rsidRDefault="00257FA6">
    <w:pPr>
      <w:pStyle w:val="a8"/>
      <w:rPr>
        <w:cap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B0DC1" w14:textId="77777777" w:rsidR="001E0C20" w:rsidRDefault="001E0C20" w:rsidP="00E6645A">
      <w:r>
        <w:separator/>
      </w:r>
    </w:p>
  </w:footnote>
  <w:footnote w:type="continuationSeparator" w:id="0">
    <w:p w14:paraId="5FBBF698" w14:textId="77777777" w:rsidR="001E0C20" w:rsidRDefault="001E0C20" w:rsidP="00E66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1FFBD" w14:textId="77777777" w:rsidR="003A2D09" w:rsidRPr="00257FA6" w:rsidRDefault="003A2D09" w:rsidP="003A2D09">
    <w:pPr>
      <w:pStyle w:val="a6"/>
      <w:jc w:val="center"/>
      <w:rPr>
        <w:rFonts w:ascii="Arial" w:hAnsi="Arial"/>
        <w:b/>
        <w:bCs/>
        <w:sz w:val="20"/>
        <w:rtl/>
      </w:rPr>
    </w:pPr>
    <w:r w:rsidRPr="00257FA6">
      <w:rPr>
        <w:rFonts w:ascii="Arial" w:hAnsi="Arial"/>
        <w:b/>
        <w:bCs/>
        <w:noProof/>
        <w:sz w:val="20"/>
        <w:rtl/>
      </w:rPr>
      <w:drawing>
        <wp:inline distT="0" distB="0" distL="0" distR="0" wp14:anchorId="580075F9" wp14:editId="24BAC167">
          <wp:extent cx="558165" cy="570230"/>
          <wp:effectExtent l="19050" t="0" r="0" b="0"/>
          <wp:docPr id="1" name="Picture 1" title="סמל מדינת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18000"/>
                    <a:grayscl/>
                    <a:biLevel thresh="50000"/>
                  </a:blip>
                  <a:srcRect/>
                  <a:stretch>
                    <a:fillRect/>
                  </a:stretch>
                </pic:blipFill>
                <pic:spPr bwMode="auto">
                  <a:xfrm>
                    <a:off x="0" y="0"/>
                    <a:ext cx="558165" cy="570230"/>
                  </a:xfrm>
                  <a:prstGeom prst="rect">
                    <a:avLst/>
                  </a:prstGeom>
                  <a:noFill/>
                  <a:ln w="9525">
                    <a:noFill/>
                    <a:miter lim="800000"/>
                    <a:headEnd/>
                    <a:tailEnd/>
                  </a:ln>
                </pic:spPr>
              </pic:pic>
            </a:graphicData>
          </a:graphic>
        </wp:inline>
      </w:drawing>
    </w:r>
  </w:p>
  <w:p w14:paraId="447CB56D" w14:textId="77777777" w:rsidR="003A2D09" w:rsidRPr="00257FA6" w:rsidRDefault="003A2D09" w:rsidP="003A2D09">
    <w:pPr>
      <w:pStyle w:val="a6"/>
      <w:jc w:val="center"/>
      <w:rPr>
        <w:rFonts w:ascii="Arial" w:hAnsi="Arial"/>
        <w:b/>
        <w:bCs/>
        <w:sz w:val="20"/>
        <w:rtl/>
      </w:rPr>
    </w:pPr>
    <w:r w:rsidRPr="00257FA6">
      <w:rPr>
        <w:rFonts w:ascii="Arial" w:hAnsi="Arial" w:hint="cs"/>
        <w:b/>
        <w:bCs/>
        <w:sz w:val="20"/>
        <w:rtl/>
      </w:rPr>
      <w:t>מדינת ישראל</w:t>
    </w:r>
  </w:p>
  <w:p w14:paraId="7F48E02C" w14:textId="77777777" w:rsidR="003A2D09" w:rsidRDefault="003A2D09" w:rsidP="003A2D09">
    <w:pPr>
      <w:pStyle w:val="a6"/>
      <w:jc w:val="center"/>
      <w:rPr>
        <w:rFonts w:ascii="Arial" w:hAnsi="Arial"/>
        <w:b/>
        <w:bCs/>
        <w:sz w:val="20"/>
        <w:rtl/>
      </w:rPr>
    </w:pPr>
    <w:r w:rsidRPr="00257FA6">
      <w:rPr>
        <w:rFonts w:ascii="Arial" w:hAnsi="Arial"/>
        <w:b/>
        <w:bCs/>
        <w:sz w:val="20"/>
        <w:rtl/>
      </w:rPr>
      <w:t>משרד המשפטים</w:t>
    </w:r>
  </w:p>
  <w:p w14:paraId="29CD066D" w14:textId="77777777" w:rsidR="003A2D09" w:rsidRPr="00257FA6" w:rsidRDefault="001E56A2" w:rsidP="003A2D09">
    <w:pPr>
      <w:pStyle w:val="a6"/>
      <w:jc w:val="center"/>
      <w:rPr>
        <w:rFonts w:ascii="Arial" w:hAnsi="Arial"/>
        <w:b/>
        <w:bCs/>
        <w:sz w:val="20"/>
        <w:rtl/>
      </w:rPr>
    </w:pPr>
    <w:r>
      <w:rPr>
        <w:rFonts w:ascii="David" w:hAnsi="David"/>
        <w:b/>
        <w:bCs/>
        <w:noProof/>
        <w:sz w:val="24"/>
        <w:rtl/>
      </w:rPr>
      <w:t>ירושלים</w:t>
    </w:r>
  </w:p>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8"/>
      <w:gridCol w:w="3686"/>
      <w:gridCol w:w="4537"/>
    </w:tblGrid>
    <w:tr w:rsidR="00D3650D" w:rsidRPr="00257FA6" w14:paraId="0B846EF4" w14:textId="77777777" w:rsidTr="001035B0">
      <w:tc>
        <w:tcPr>
          <w:tcW w:w="3118" w:type="dxa"/>
        </w:tcPr>
        <w:p w14:paraId="397C429D" w14:textId="77777777" w:rsidR="00D3650D" w:rsidRDefault="00D3650D" w:rsidP="001C63D8">
          <w:pPr>
            <w:pStyle w:val="a6"/>
            <w:jc w:val="center"/>
            <w:rPr>
              <w:rFonts w:ascii="Arial" w:hAnsi="Arial"/>
              <w:b/>
              <w:bCs/>
              <w:sz w:val="20"/>
              <w:rtl/>
            </w:rPr>
          </w:pPr>
          <w:r w:rsidRPr="00257FA6">
            <w:rPr>
              <w:rFonts w:ascii="Arial" w:hAnsi="Arial" w:hint="cs"/>
              <w:b/>
              <w:bCs/>
              <w:sz w:val="20"/>
              <w:rtl/>
            </w:rPr>
            <w:t>מפקח על רישום מקרקעין</w:t>
          </w:r>
        </w:p>
        <w:p w14:paraId="6F1451A8" w14:textId="77777777" w:rsidR="00982571" w:rsidRPr="005347F0" w:rsidRDefault="00982571" w:rsidP="00982571">
          <w:pPr>
            <w:pStyle w:val="a6"/>
            <w:jc w:val="center"/>
            <w:rPr>
              <w:b/>
              <w:bCs/>
              <w:sz w:val="24"/>
              <w:rtl/>
            </w:rPr>
          </w:pPr>
          <w:r w:rsidRPr="005347F0">
            <w:rPr>
              <w:rFonts w:hint="cs"/>
              <w:b/>
              <w:bCs/>
              <w:sz w:val="24"/>
              <w:rtl/>
            </w:rPr>
            <w:t>בסמכות שופט בית משפט שלום</w:t>
          </w:r>
        </w:p>
        <w:p w14:paraId="798D84F3" w14:textId="77777777" w:rsidR="00982571" w:rsidRPr="00257FA6" w:rsidRDefault="00982571" w:rsidP="00982571">
          <w:pPr>
            <w:pStyle w:val="a6"/>
            <w:jc w:val="center"/>
            <w:rPr>
              <w:rFonts w:ascii="Arial" w:hAnsi="Arial"/>
              <w:b/>
              <w:bCs/>
              <w:sz w:val="20"/>
              <w:rtl/>
            </w:rPr>
          </w:pPr>
          <w:r>
            <w:rPr>
              <w:rFonts w:hint="cs"/>
              <w:b/>
              <w:bCs/>
              <w:sz w:val="24"/>
              <w:rtl/>
            </w:rPr>
            <w:t>לפי סעיף 74 לחוק המקרקעין</w:t>
          </w:r>
        </w:p>
      </w:tc>
      <w:tc>
        <w:tcPr>
          <w:tcW w:w="3686" w:type="dxa"/>
        </w:tcPr>
        <w:p w14:paraId="45326646" w14:textId="77777777" w:rsidR="00D3650D" w:rsidRPr="00257FA6" w:rsidRDefault="00D3650D" w:rsidP="00373A1B">
          <w:pPr>
            <w:pStyle w:val="a6"/>
            <w:jc w:val="center"/>
            <w:rPr>
              <w:rFonts w:ascii="Arial" w:hAnsi="Arial"/>
              <w:b/>
              <w:bCs/>
              <w:sz w:val="20"/>
              <w:rtl/>
            </w:rPr>
          </w:pPr>
        </w:p>
      </w:tc>
      <w:tc>
        <w:tcPr>
          <w:tcW w:w="4537" w:type="dxa"/>
        </w:tcPr>
        <w:p w14:paraId="398A58FB" w14:textId="77777777" w:rsidR="00D3650D" w:rsidRPr="00257FA6" w:rsidRDefault="001E56A2" w:rsidP="001C63D8">
          <w:pPr>
            <w:pStyle w:val="a6"/>
            <w:rPr>
              <w:rFonts w:ascii="Arial" w:hAnsi="Arial"/>
              <w:b/>
              <w:bCs/>
              <w:sz w:val="20"/>
              <w:rtl/>
            </w:rPr>
          </w:pPr>
          <w:r>
            <w:rPr>
              <w:rFonts w:ascii="David" w:hAnsi="David"/>
              <w:b/>
              <w:bCs/>
              <w:noProof/>
              <w:sz w:val="24"/>
              <w:rtl/>
            </w:rPr>
            <w:t>מס' תיק: 1/283/2024</w:t>
          </w:r>
        </w:p>
      </w:tc>
    </w:tr>
  </w:tbl>
  <w:p w14:paraId="72A12AFA" w14:textId="77777777" w:rsidR="003A2D09" w:rsidRPr="00257FA6" w:rsidRDefault="003A2D09" w:rsidP="003A2D09">
    <w:pPr>
      <w:pStyle w:val="a6"/>
      <w:rPr>
        <w:rFonts w:ascii="Arial" w:hAnsi="Arial"/>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9DEFC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8D4A2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E98F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C5C9CA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B8A3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E4A8AB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E80DB2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6EE42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9EDB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BA4A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021AE"/>
    <w:multiLevelType w:val="hybridMultilevel"/>
    <w:tmpl w:val="94309F9E"/>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1" w15:restartNumberingAfterBreak="0">
    <w:nsid w:val="227E72B3"/>
    <w:multiLevelType w:val="hybridMultilevel"/>
    <w:tmpl w:val="4DD69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F8164A"/>
    <w:multiLevelType w:val="hybridMultilevel"/>
    <w:tmpl w:val="7110D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974872"/>
    <w:multiLevelType w:val="hybridMultilevel"/>
    <w:tmpl w:val="1E981BB8"/>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4" w15:restartNumberingAfterBreak="0">
    <w:nsid w:val="7E0726CB"/>
    <w:multiLevelType w:val="hybridMultilevel"/>
    <w:tmpl w:val="D644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39" w:val="........................................................................................................................................................................................................................................................................................................................................................................................................................................................................................................................................................................................................................................................................................................................................................................................................................................................................................................................................................................................................................................"/>
    <w:docVar w:name="DocTable" w:val="2"/>
    <w:docVar w:name="Document MetaData-23/07/2025 12:35:40" w:val="........................................................................................................................................................................................................................................................................................................................................................................................................................................................................................................................................................................................................................................................................................................................................................................................................................................................................................................................................................................................................................................"/>
    <w:docVar w:name="P1" w:val="Document MetaData-23/07/2025 12:36:29"/>
    <w:docVar w:name="P2" w:val="Document Headings-23/07/2025 12:38:43"/>
    <w:docVar w:name="P3" w:val="Document Tables-23/07/2025 12:38:59"/>
    <w:docVar w:name="ParaNumber" w:val="165"/>
  </w:docVars>
  <w:rsids>
    <w:rsidRoot w:val="00A85247"/>
    <w:rsid w:val="00002AEE"/>
    <w:rsid w:val="00003CC5"/>
    <w:rsid w:val="00005402"/>
    <w:rsid w:val="000057E8"/>
    <w:rsid w:val="00020148"/>
    <w:rsid w:val="0002373E"/>
    <w:rsid w:val="00041D06"/>
    <w:rsid w:val="00064A36"/>
    <w:rsid w:val="00067456"/>
    <w:rsid w:val="00073376"/>
    <w:rsid w:val="0007500C"/>
    <w:rsid w:val="000752D2"/>
    <w:rsid w:val="0008218B"/>
    <w:rsid w:val="00082BC7"/>
    <w:rsid w:val="000834B7"/>
    <w:rsid w:val="000960BA"/>
    <w:rsid w:val="000C25E1"/>
    <w:rsid w:val="000D1035"/>
    <w:rsid w:val="000E046E"/>
    <w:rsid w:val="000E59A0"/>
    <w:rsid w:val="000F1BB5"/>
    <w:rsid w:val="000F40C1"/>
    <w:rsid w:val="0010153E"/>
    <w:rsid w:val="001035B0"/>
    <w:rsid w:val="00107339"/>
    <w:rsid w:val="001166DA"/>
    <w:rsid w:val="00141176"/>
    <w:rsid w:val="00171732"/>
    <w:rsid w:val="001A73F3"/>
    <w:rsid w:val="001D4325"/>
    <w:rsid w:val="001E0C20"/>
    <w:rsid w:val="001E56A2"/>
    <w:rsid w:val="001F5C40"/>
    <w:rsid w:val="00227E56"/>
    <w:rsid w:val="00227EDD"/>
    <w:rsid w:val="00237FAC"/>
    <w:rsid w:val="00257FA6"/>
    <w:rsid w:val="0026341F"/>
    <w:rsid w:val="0028308D"/>
    <w:rsid w:val="00285EE4"/>
    <w:rsid w:val="002A668B"/>
    <w:rsid w:val="002C2A29"/>
    <w:rsid w:val="00302C45"/>
    <w:rsid w:val="00344FAA"/>
    <w:rsid w:val="0034710D"/>
    <w:rsid w:val="00353E71"/>
    <w:rsid w:val="00355305"/>
    <w:rsid w:val="00355C48"/>
    <w:rsid w:val="003571AE"/>
    <w:rsid w:val="0036024A"/>
    <w:rsid w:val="00382123"/>
    <w:rsid w:val="003A2D09"/>
    <w:rsid w:val="003A5B0C"/>
    <w:rsid w:val="003E0904"/>
    <w:rsid w:val="003E5409"/>
    <w:rsid w:val="003F0297"/>
    <w:rsid w:val="003F03E7"/>
    <w:rsid w:val="00416D3E"/>
    <w:rsid w:val="0043108A"/>
    <w:rsid w:val="00436544"/>
    <w:rsid w:val="004507C9"/>
    <w:rsid w:val="00451EC5"/>
    <w:rsid w:val="0046217D"/>
    <w:rsid w:val="0046318A"/>
    <w:rsid w:val="004652EB"/>
    <w:rsid w:val="00472CF9"/>
    <w:rsid w:val="00492E70"/>
    <w:rsid w:val="004C4A98"/>
    <w:rsid w:val="004E326D"/>
    <w:rsid w:val="004F5B0D"/>
    <w:rsid w:val="004F780E"/>
    <w:rsid w:val="00506114"/>
    <w:rsid w:val="00533418"/>
    <w:rsid w:val="00535A25"/>
    <w:rsid w:val="00545351"/>
    <w:rsid w:val="00545579"/>
    <w:rsid w:val="00555A87"/>
    <w:rsid w:val="005714F0"/>
    <w:rsid w:val="005807C0"/>
    <w:rsid w:val="005A4338"/>
    <w:rsid w:val="005B2A07"/>
    <w:rsid w:val="005B6D9F"/>
    <w:rsid w:val="005B7227"/>
    <w:rsid w:val="005E07ED"/>
    <w:rsid w:val="005E224F"/>
    <w:rsid w:val="005E2F01"/>
    <w:rsid w:val="005F04A9"/>
    <w:rsid w:val="00627AC1"/>
    <w:rsid w:val="0063709C"/>
    <w:rsid w:val="006478D8"/>
    <w:rsid w:val="00651AB5"/>
    <w:rsid w:val="00657C5B"/>
    <w:rsid w:val="0066182D"/>
    <w:rsid w:val="00677D3C"/>
    <w:rsid w:val="0068496F"/>
    <w:rsid w:val="006906EC"/>
    <w:rsid w:val="00696EE2"/>
    <w:rsid w:val="006B2E64"/>
    <w:rsid w:val="006B6F28"/>
    <w:rsid w:val="006D4388"/>
    <w:rsid w:val="006E5B31"/>
    <w:rsid w:val="006F3E4F"/>
    <w:rsid w:val="00716D3E"/>
    <w:rsid w:val="00742802"/>
    <w:rsid w:val="007447BC"/>
    <w:rsid w:val="007523B0"/>
    <w:rsid w:val="007606E7"/>
    <w:rsid w:val="00761393"/>
    <w:rsid w:val="0076341C"/>
    <w:rsid w:val="00772464"/>
    <w:rsid w:val="0078315F"/>
    <w:rsid w:val="00786824"/>
    <w:rsid w:val="00792E10"/>
    <w:rsid w:val="007A22B9"/>
    <w:rsid w:val="007B1CF6"/>
    <w:rsid w:val="007E3C9A"/>
    <w:rsid w:val="007E47BC"/>
    <w:rsid w:val="00803D38"/>
    <w:rsid w:val="008346FC"/>
    <w:rsid w:val="00835647"/>
    <w:rsid w:val="00841790"/>
    <w:rsid w:val="00846D73"/>
    <w:rsid w:val="00850B49"/>
    <w:rsid w:val="0086487F"/>
    <w:rsid w:val="00867BA8"/>
    <w:rsid w:val="008716BE"/>
    <w:rsid w:val="00895C0A"/>
    <w:rsid w:val="008A2AB4"/>
    <w:rsid w:val="008A7D76"/>
    <w:rsid w:val="008C4D39"/>
    <w:rsid w:val="008E0BDC"/>
    <w:rsid w:val="009058E3"/>
    <w:rsid w:val="00941F0E"/>
    <w:rsid w:val="0095273E"/>
    <w:rsid w:val="00954DDD"/>
    <w:rsid w:val="00982571"/>
    <w:rsid w:val="00986C4F"/>
    <w:rsid w:val="00990DAA"/>
    <w:rsid w:val="00995661"/>
    <w:rsid w:val="009957CE"/>
    <w:rsid w:val="009B6A89"/>
    <w:rsid w:val="009E14FF"/>
    <w:rsid w:val="009E6737"/>
    <w:rsid w:val="009F14CE"/>
    <w:rsid w:val="009F46C4"/>
    <w:rsid w:val="00A014E7"/>
    <w:rsid w:val="00A02096"/>
    <w:rsid w:val="00A12C45"/>
    <w:rsid w:val="00A24785"/>
    <w:rsid w:val="00A3282F"/>
    <w:rsid w:val="00A44778"/>
    <w:rsid w:val="00A4569A"/>
    <w:rsid w:val="00A56393"/>
    <w:rsid w:val="00A85247"/>
    <w:rsid w:val="00A87A98"/>
    <w:rsid w:val="00AA2219"/>
    <w:rsid w:val="00AA5F44"/>
    <w:rsid w:val="00AA6CAB"/>
    <w:rsid w:val="00AA7FAF"/>
    <w:rsid w:val="00AC0A8E"/>
    <w:rsid w:val="00AD6010"/>
    <w:rsid w:val="00AE5FE0"/>
    <w:rsid w:val="00AF31EE"/>
    <w:rsid w:val="00B06DCB"/>
    <w:rsid w:val="00B137E2"/>
    <w:rsid w:val="00B20B1E"/>
    <w:rsid w:val="00B26051"/>
    <w:rsid w:val="00B27DA5"/>
    <w:rsid w:val="00B34635"/>
    <w:rsid w:val="00B37608"/>
    <w:rsid w:val="00B453DC"/>
    <w:rsid w:val="00B720C7"/>
    <w:rsid w:val="00B80929"/>
    <w:rsid w:val="00B82135"/>
    <w:rsid w:val="00B93DB7"/>
    <w:rsid w:val="00BB4A46"/>
    <w:rsid w:val="00BC453B"/>
    <w:rsid w:val="00BD2B92"/>
    <w:rsid w:val="00BD611E"/>
    <w:rsid w:val="00BF226D"/>
    <w:rsid w:val="00C06756"/>
    <w:rsid w:val="00C07D14"/>
    <w:rsid w:val="00C21C67"/>
    <w:rsid w:val="00C2248B"/>
    <w:rsid w:val="00C32D24"/>
    <w:rsid w:val="00C333A2"/>
    <w:rsid w:val="00C351AC"/>
    <w:rsid w:val="00C41114"/>
    <w:rsid w:val="00C452A8"/>
    <w:rsid w:val="00C60A02"/>
    <w:rsid w:val="00C8524A"/>
    <w:rsid w:val="00C92D3D"/>
    <w:rsid w:val="00CB44D3"/>
    <w:rsid w:val="00CD0363"/>
    <w:rsid w:val="00CF458D"/>
    <w:rsid w:val="00D0443B"/>
    <w:rsid w:val="00D11EF2"/>
    <w:rsid w:val="00D3650D"/>
    <w:rsid w:val="00D40469"/>
    <w:rsid w:val="00D507E2"/>
    <w:rsid w:val="00D54636"/>
    <w:rsid w:val="00D63F0C"/>
    <w:rsid w:val="00D80962"/>
    <w:rsid w:val="00DB2354"/>
    <w:rsid w:val="00DB6109"/>
    <w:rsid w:val="00E0435C"/>
    <w:rsid w:val="00E114C4"/>
    <w:rsid w:val="00E13BDC"/>
    <w:rsid w:val="00E2132A"/>
    <w:rsid w:val="00E33D5F"/>
    <w:rsid w:val="00E5481C"/>
    <w:rsid w:val="00E644DA"/>
    <w:rsid w:val="00E6645A"/>
    <w:rsid w:val="00E67049"/>
    <w:rsid w:val="00E8345C"/>
    <w:rsid w:val="00E84FA8"/>
    <w:rsid w:val="00EA29F4"/>
    <w:rsid w:val="00EA5C43"/>
    <w:rsid w:val="00EB709B"/>
    <w:rsid w:val="00EC1F35"/>
    <w:rsid w:val="00ED573F"/>
    <w:rsid w:val="00EF72B9"/>
    <w:rsid w:val="00F00726"/>
    <w:rsid w:val="00F05D0A"/>
    <w:rsid w:val="00F3383F"/>
    <w:rsid w:val="00F44D7E"/>
    <w:rsid w:val="00F45876"/>
    <w:rsid w:val="00F53FCE"/>
    <w:rsid w:val="00F56AA8"/>
    <w:rsid w:val="00F65521"/>
    <w:rsid w:val="00F7708F"/>
    <w:rsid w:val="00FB5007"/>
    <w:rsid w:val="00FB52B5"/>
    <w:rsid w:val="00FC4C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9B42D4A"/>
  <w15:docId w15:val="{75389747-F8C3-4CB5-A1FC-EA8B9674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7ED"/>
    <w:pPr>
      <w:bidi/>
      <w:spacing w:after="0" w:line="240" w:lineRule="auto"/>
      <w:contextualSpacing/>
    </w:pPr>
    <w:rPr>
      <w:rFonts w:ascii="Times New Roman" w:hAnsi="Times New Roman" w:cs="David"/>
      <w:szCs w:val="24"/>
    </w:rPr>
  </w:style>
  <w:style w:type="paragraph" w:styleId="1">
    <w:name w:val="heading 1"/>
    <w:basedOn w:val="a"/>
    <w:next w:val="a"/>
    <w:link w:val="10"/>
    <w:uiPriority w:val="9"/>
    <w:qFormat/>
    <w:rsid w:val="007606E7"/>
    <w:pPr>
      <w:jc w:val="both"/>
      <w:outlineLvl w:val="0"/>
    </w:pPr>
    <w:rPr>
      <w:rFonts w:ascii="David" w:hAnsi="David"/>
      <w:b/>
      <w:bCs/>
      <w:sz w:val="24"/>
    </w:rPr>
  </w:style>
  <w:style w:type="paragraph" w:styleId="2">
    <w:name w:val="heading 2"/>
    <w:basedOn w:val="a"/>
    <w:next w:val="a"/>
    <w:link w:val="20"/>
    <w:uiPriority w:val="9"/>
    <w:unhideWhenUsed/>
    <w:qFormat/>
    <w:rsid w:val="007606E7"/>
    <w:pPr>
      <w:keepNext/>
      <w:keepLines/>
      <w:jc w:val="both"/>
      <w:outlineLvl w:val="1"/>
    </w:pPr>
    <w:rPr>
      <w:rFonts w:ascii="David" w:eastAsia="David" w:hAnsi="David"/>
      <w:sz w:val="24"/>
      <w:u w:val="single"/>
    </w:rPr>
  </w:style>
  <w:style w:type="paragraph" w:styleId="3">
    <w:name w:val="heading 3"/>
    <w:basedOn w:val="a"/>
    <w:next w:val="a"/>
    <w:link w:val="30"/>
    <w:uiPriority w:val="9"/>
    <w:unhideWhenUsed/>
    <w:qFormat/>
    <w:rsid w:val="007606E7"/>
    <w:pPr>
      <w:keepNext/>
      <w:keepLines/>
      <w:jc w:val="both"/>
      <w:outlineLvl w:val="2"/>
    </w:pPr>
    <w:rPr>
      <w:rFonts w:ascii="David" w:eastAsia="David" w:hAnsi="David"/>
      <w:i/>
      <w:i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8524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nhideWhenUsed/>
    <w:rsid w:val="00A85247"/>
    <w:rPr>
      <w:rFonts w:ascii="Tahoma" w:hAnsi="Tahoma" w:cs="Tahoma"/>
      <w:sz w:val="16"/>
      <w:szCs w:val="16"/>
    </w:rPr>
  </w:style>
  <w:style w:type="character" w:customStyle="1" w:styleId="a5">
    <w:name w:val="טקסט בלונים תו"/>
    <w:basedOn w:val="a0"/>
    <w:link w:val="a4"/>
    <w:rsid w:val="00A85247"/>
    <w:rPr>
      <w:rFonts w:ascii="Tahoma" w:hAnsi="Tahoma" w:cs="Tahoma"/>
      <w:sz w:val="16"/>
      <w:szCs w:val="16"/>
    </w:rPr>
  </w:style>
  <w:style w:type="paragraph" w:styleId="a6">
    <w:name w:val="header"/>
    <w:basedOn w:val="a"/>
    <w:link w:val="a7"/>
    <w:unhideWhenUsed/>
    <w:rsid w:val="00E6645A"/>
    <w:pPr>
      <w:tabs>
        <w:tab w:val="center" w:pos="4153"/>
        <w:tab w:val="right" w:pos="8306"/>
      </w:tabs>
    </w:pPr>
  </w:style>
  <w:style w:type="character" w:customStyle="1" w:styleId="a7">
    <w:name w:val="כותרת עליונה תו"/>
    <w:basedOn w:val="a0"/>
    <w:link w:val="a6"/>
    <w:uiPriority w:val="99"/>
    <w:semiHidden/>
    <w:rsid w:val="00E6645A"/>
  </w:style>
  <w:style w:type="paragraph" w:styleId="a8">
    <w:name w:val="footer"/>
    <w:basedOn w:val="a"/>
    <w:link w:val="a9"/>
    <w:uiPriority w:val="99"/>
    <w:unhideWhenUsed/>
    <w:rsid w:val="00E6645A"/>
    <w:pPr>
      <w:tabs>
        <w:tab w:val="center" w:pos="4153"/>
        <w:tab w:val="right" w:pos="8306"/>
      </w:tabs>
    </w:pPr>
  </w:style>
  <w:style w:type="character" w:customStyle="1" w:styleId="a9">
    <w:name w:val="כותרת תחתונה תו"/>
    <w:basedOn w:val="a0"/>
    <w:link w:val="a8"/>
    <w:uiPriority w:val="99"/>
    <w:rsid w:val="00E6645A"/>
  </w:style>
  <w:style w:type="character" w:styleId="aa">
    <w:name w:val="page number"/>
    <w:basedOn w:val="a0"/>
    <w:rsid w:val="00D0443B"/>
  </w:style>
  <w:style w:type="paragraph" w:styleId="ab">
    <w:name w:val="Revision"/>
    <w:hidden/>
    <w:uiPriority w:val="99"/>
    <w:semiHidden/>
    <w:rsid w:val="0076341C"/>
    <w:pPr>
      <w:spacing w:after="0" w:line="240" w:lineRule="auto"/>
    </w:pPr>
  </w:style>
  <w:style w:type="paragraph" w:styleId="ac">
    <w:name w:val="List Paragraph"/>
    <w:basedOn w:val="a"/>
    <w:link w:val="ad"/>
    <w:uiPriority w:val="34"/>
    <w:qFormat/>
    <w:rsid w:val="00003CC5"/>
    <w:pPr>
      <w:ind w:left="720"/>
    </w:pPr>
  </w:style>
  <w:style w:type="table" w:customStyle="1" w:styleId="TableGrid1">
    <w:name w:val="Table Grid1"/>
    <w:basedOn w:val="a1"/>
    <w:next w:val="a3"/>
    <w:uiPriority w:val="59"/>
    <w:rsid w:val="006F3E4F"/>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כותרת 1 תו"/>
    <w:basedOn w:val="a0"/>
    <w:link w:val="1"/>
    <w:uiPriority w:val="9"/>
    <w:rsid w:val="007606E7"/>
    <w:rPr>
      <w:rFonts w:ascii="David" w:hAnsi="David" w:cs="David"/>
      <w:b/>
      <w:bCs/>
      <w:sz w:val="24"/>
      <w:szCs w:val="24"/>
    </w:rPr>
  </w:style>
  <w:style w:type="character" w:customStyle="1" w:styleId="20">
    <w:name w:val="כותרת 2 תו"/>
    <w:basedOn w:val="a0"/>
    <w:link w:val="2"/>
    <w:uiPriority w:val="9"/>
    <w:rsid w:val="007606E7"/>
    <w:rPr>
      <w:rFonts w:ascii="David" w:eastAsia="David" w:hAnsi="David" w:cs="David"/>
      <w:sz w:val="24"/>
      <w:szCs w:val="24"/>
      <w:u w:val="single"/>
    </w:rPr>
  </w:style>
  <w:style w:type="character" w:customStyle="1" w:styleId="30">
    <w:name w:val="כותרת 3 תו"/>
    <w:basedOn w:val="a0"/>
    <w:link w:val="3"/>
    <w:uiPriority w:val="9"/>
    <w:rsid w:val="007606E7"/>
    <w:rPr>
      <w:rFonts w:ascii="David" w:eastAsia="David" w:hAnsi="David" w:cs="David"/>
      <w:i/>
      <w:iCs/>
      <w:sz w:val="24"/>
      <w:szCs w:val="24"/>
    </w:rPr>
  </w:style>
  <w:style w:type="character" w:customStyle="1" w:styleId="ad">
    <w:name w:val="פיסקת רשימה תו"/>
    <w:link w:val="ac"/>
    <w:uiPriority w:val="34"/>
    <w:locked/>
    <w:rsid w:val="00C41114"/>
    <w:rPr>
      <w:rFonts w:ascii="Times New Roman" w:hAnsi="Times New Roman" w:cs="David"/>
      <w:szCs w:val="24"/>
    </w:rPr>
  </w:style>
  <w:style w:type="character" w:styleId="Hyperlink">
    <w:name w:val="Hyperlink"/>
    <w:basedOn w:val="a0"/>
    <w:rsid w:val="00C41114"/>
    <w:rPr>
      <w:color w:val="0000FF"/>
      <w:u w:val="single"/>
    </w:rPr>
  </w:style>
  <w:style w:type="paragraph" w:styleId="NormalWeb">
    <w:name w:val="Normal (Web)"/>
    <w:basedOn w:val="a"/>
    <w:uiPriority w:val="99"/>
    <w:semiHidden/>
    <w:unhideWhenUsed/>
    <w:rsid w:val="00C41114"/>
    <w:pPr>
      <w:bidi w:val="0"/>
      <w:spacing w:before="100" w:beforeAutospacing="1" w:after="100" w:afterAutospacing="1"/>
      <w:contextualSpacing w:val="0"/>
    </w:pPr>
    <w:rPr>
      <w:rFonts w:eastAsia="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nevo.co.il/law/71888" TargetMode="External"/><Relationship Id="rId18" Type="http://schemas.openxmlformats.org/officeDocument/2006/relationships/hyperlink" Target="http://www.nevo.co.il/case/13090855" TargetMode="External"/><Relationship Id="rId26" Type="http://schemas.openxmlformats.org/officeDocument/2006/relationships/image" Target="media/image4.jpeg"/><Relationship Id="rId3" Type="http://schemas.openxmlformats.org/officeDocument/2006/relationships/customXml" Target="../customXml/item3.xml"/><Relationship Id="rId21" Type="http://schemas.openxmlformats.org/officeDocument/2006/relationships/hyperlink" Target="http://www.nevo.co.il/case/26019001" TargetMode="External"/><Relationship Id="rId7" Type="http://schemas.openxmlformats.org/officeDocument/2006/relationships/settings" Target="settings.xml"/><Relationship Id="rId12" Type="http://schemas.openxmlformats.org/officeDocument/2006/relationships/hyperlink" Target="http://www.nevo.co.il/law/72897" TargetMode="External"/><Relationship Id="rId17" Type="http://schemas.openxmlformats.org/officeDocument/2006/relationships/hyperlink" Target="http://www.nevo.co.il/case/17919150" TargetMode="External"/><Relationship Id="rId25"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hyperlink" Target="http://www.nevo.co.il/case/17916275" TargetMode="External"/><Relationship Id="rId20" Type="http://schemas.openxmlformats.org/officeDocument/2006/relationships/hyperlink" Target="http://www.nevo.co.il/case/1794362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nevo.co.il/law/72897" TargetMode="External"/><Relationship Id="rId24"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hyperlink" Target="http://www.nevo.co.il/case/17932814" TargetMode="External"/><Relationship Id="rId23" Type="http://schemas.openxmlformats.org/officeDocument/2006/relationships/image" Target="media/image1.jpe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www.nevo.co.il/law/72897"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nevo.co.il/law/70320" TargetMode="External"/><Relationship Id="rId22" Type="http://schemas.openxmlformats.org/officeDocument/2006/relationships/hyperlink" Target="http://www.nevo.co.il/case/17931816"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19158D021A48449234D6B1A7DD7730" ma:contentTypeVersion="0" ma:contentTypeDescription="Create a new document." ma:contentTypeScope="" ma:versionID="cdec582a9fdaa644d72186c99c178d3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711B82-15E3-41FF-A74C-ADB3783C97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7C57F1DE-83A5-433F-9389-3372BB37D76B}">
  <ds:schemaRefs>
    <ds:schemaRef ds:uri="http://schemas.microsoft.com/office/2006/metadata/properties"/>
  </ds:schemaRefs>
</ds:datastoreItem>
</file>

<file path=customXml/itemProps3.xml><?xml version="1.0" encoding="utf-8"?>
<ds:datastoreItem xmlns:ds="http://schemas.openxmlformats.org/officeDocument/2006/customXml" ds:itemID="{175984EF-3A5E-44D2-8087-A76CBD6EBC76}">
  <ds:schemaRefs>
    <ds:schemaRef ds:uri="http://schemas.openxmlformats.org/officeDocument/2006/bibliography"/>
  </ds:schemaRefs>
</ds:datastoreItem>
</file>

<file path=customXml/itemProps4.xml><?xml version="1.0" encoding="utf-8"?>
<ds:datastoreItem xmlns:ds="http://schemas.openxmlformats.org/officeDocument/2006/customXml" ds:itemID="{5080F5D6-6585-4AF0-9ADA-1031599728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3493</Words>
  <Characters>16282</Characters>
  <Application>Microsoft Office Word</Application>
  <DocSecurity>0</DocSecurity>
  <Lines>428</Lines>
  <Paragraphs>103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פסק דין.docx_7</vt:lpstr>
      <vt:lpstr/>
    </vt:vector>
  </TitlesOfParts>
  <Company>HP</Company>
  <LinksUpToDate>false</LinksUpToDate>
  <CharactersWithSpaces>19672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פסק דין.docx_7</dc:title>
  <dc:creator>susyl</dc:creator>
  <cp:keywords>Produced By WeCo Office Accessibilty</cp:keywords>
  <dc:description>שלב 4 - טיפול בתמונות וקישורים</dc:description>
  <cp:lastModifiedBy>Shimrit Chuna</cp:lastModifiedBy>
  <cp:revision>2</cp:revision>
  <cp:lastPrinted>2025-07-23T10:38:00Z</cp:lastPrinted>
  <dcterms:created xsi:type="dcterms:W3CDTF">2025-07-23T10:41:00Z</dcterms:created>
  <dcterms:modified xsi:type="dcterms:W3CDTF">2025-07-23T10:41:00Z</dcterms:modified>
  <dc:language>עברית</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0x010100B319158D021A48449234D6B1A7DD7730</vt:lpwstr>
  </property>
  <property fmtid="{D5CDD505-2E9C-101B-9397-08002B2CF9AE}" pid="3" name="DctmFieldsUpdated">
    <vt:bool>true</vt:bool>
  </property>
</Properties>
</file>