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5B039F" w:rsidRPr="005B039F" w14:paraId="115D4EE3" w14:textId="77777777" w:rsidTr="006F56CC">
        <w:trPr>
          <w:cantSplit/>
        </w:trPr>
        <w:tc>
          <w:tcPr>
            <w:tcW w:w="3118" w:type="dxa"/>
          </w:tcPr>
          <w:p w14:paraId="11D29BD0" w14:textId="77777777" w:rsidR="001035B0" w:rsidRPr="005B039F" w:rsidRDefault="001035B0" w:rsidP="007A5335">
            <w:pPr>
              <w:pStyle w:val="a6"/>
              <w:jc w:val="center"/>
              <w:rPr>
                <w:rFonts w:ascii="David" w:hAnsi="David"/>
                <w:b/>
                <w:bCs/>
                <w:sz w:val="24"/>
                <w:rtl/>
              </w:rPr>
            </w:pPr>
          </w:p>
        </w:tc>
        <w:tc>
          <w:tcPr>
            <w:tcW w:w="3686" w:type="dxa"/>
          </w:tcPr>
          <w:p w14:paraId="57B034C8" w14:textId="77777777" w:rsidR="001035B0" w:rsidRPr="005B039F" w:rsidRDefault="001035B0" w:rsidP="007A5335">
            <w:pPr>
              <w:pStyle w:val="a6"/>
              <w:jc w:val="center"/>
              <w:rPr>
                <w:rFonts w:ascii="David" w:hAnsi="David"/>
                <w:b/>
                <w:bCs/>
                <w:sz w:val="24"/>
                <w:rtl/>
              </w:rPr>
            </w:pPr>
          </w:p>
        </w:tc>
        <w:tc>
          <w:tcPr>
            <w:tcW w:w="4537" w:type="dxa"/>
          </w:tcPr>
          <w:p w14:paraId="3A58C25A" w14:textId="77777777" w:rsidR="005B039F" w:rsidRPr="005B039F" w:rsidRDefault="005B039F" w:rsidP="00545579">
            <w:r w:rsidRPr="005B039F">
              <w:rPr>
                <w:rFonts w:ascii="David" w:hAnsi="David" w:hint="cs"/>
                <w:b/>
                <w:bCs/>
                <w:sz w:val="24"/>
                <w:rtl/>
              </w:rPr>
              <w:t>ל</w:t>
            </w:r>
            <w:r w:rsidR="001035B0" w:rsidRPr="005B039F">
              <w:rPr>
                <w:rFonts w:ascii="David" w:hAnsi="David" w:hint="cs"/>
                <w:b/>
                <w:bCs/>
                <w:sz w:val="24"/>
                <w:rtl/>
              </w:rPr>
              <w:t xml:space="preserve">פני כבוד </w:t>
            </w:r>
            <w:r w:rsidRPr="005B039F">
              <w:rPr>
                <w:rFonts w:ascii="David" w:hAnsi="David" w:hint="cs"/>
                <w:b/>
                <w:bCs/>
                <w:sz w:val="24"/>
                <w:rtl/>
              </w:rPr>
              <w:t>ה</w:t>
            </w:r>
            <w:r w:rsidR="001035B0" w:rsidRPr="005B039F">
              <w:rPr>
                <w:rFonts w:ascii="David" w:hAnsi="David"/>
                <w:b/>
                <w:bCs/>
                <w:noProof/>
                <w:sz w:val="24"/>
                <w:rtl/>
              </w:rPr>
              <w:t>מפקח על רישום מקרקעין</w:t>
            </w:r>
            <w:r w:rsidR="005F04A9" w:rsidRPr="005B039F">
              <w:t xml:space="preserve"> </w:t>
            </w:r>
          </w:p>
          <w:p w14:paraId="1DE5BBAB" w14:textId="46EAD777" w:rsidR="001035B0" w:rsidRPr="005B039F" w:rsidRDefault="001035B0" w:rsidP="00545579">
            <w:pPr>
              <w:rPr>
                <w:rFonts w:ascii="David" w:hAnsi="David"/>
                <w:sz w:val="24"/>
                <w:rtl/>
              </w:rPr>
            </w:pPr>
            <w:r w:rsidRPr="005B039F">
              <w:rPr>
                <w:rFonts w:ascii="David" w:hAnsi="David"/>
                <w:b/>
                <w:bCs/>
                <w:noProof/>
                <w:sz w:val="24"/>
                <w:rtl/>
              </w:rPr>
              <w:t>ברק ליפשיץ</w:t>
            </w:r>
          </w:p>
        </w:tc>
      </w:tr>
    </w:tbl>
    <w:p w14:paraId="247BA213" w14:textId="7A24D387" w:rsidR="00D3650D" w:rsidRPr="005B039F" w:rsidRDefault="00D3650D" w:rsidP="00CB0964">
      <w:pPr>
        <w:spacing w:after="200" w:line="276" w:lineRule="auto"/>
        <w:contextualSpacing w:val="0"/>
        <w:jc w:val="center"/>
        <w:rPr>
          <w:b/>
          <w:bCs/>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6"/>
        <w:gridCol w:w="1658"/>
        <w:gridCol w:w="691"/>
        <w:gridCol w:w="5664"/>
      </w:tblGrid>
      <w:tr w:rsidR="005B039F" w:rsidRPr="005B039F" w14:paraId="71AEA26B" w14:textId="77777777">
        <w:tc>
          <w:tcPr>
            <w:tcW w:w="916" w:type="pct"/>
          </w:tcPr>
          <w:p w14:paraId="360571D8" w14:textId="68E8F937" w:rsidR="00E73B5A" w:rsidRPr="005B039F" w:rsidRDefault="005B039F">
            <w:pPr>
              <w:spacing w:before="100" w:beforeAutospacing="1" w:after="100" w:afterAutospacing="1" w:line="276" w:lineRule="auto"/>
              <w:rPr>
                <w:rFonts w:ascii="David" w:hAnsi="David"/>
                <w:sz w:val="24"/>
                <w:rtl/>
              </w:rPr>
            </w:pPr>
            <w:r w:rsidRPr="005B039F">
              <w:rPr>
                <w:rFonts w:ascii="David" w:hAnsi="David" w:hint="cs"/>
                <w:sz w:val="24"/>
                <w:rtl/>
              </w:rPr>
              <w:t>ה</w:t>
            </w:r>
            <w:r w:rsidR="00681711" w:rsidRPr="005B039F">
              <w:rPr>
                <w:rFonts w:ascii="David" w:hAnsi="David"/>
                <w:sz w:val="24"/>
                <w:rtl/>
              </w:rPr>
              <w:t>תובעים</w:t>
            </w:r>
            <w:r w:rsidRPr="005B039F">
              <w:rPr>
                <w:rFonts w:ascii="David" w:hAnsi="David" w:hint="cs"/>
                <w:sz w:val="24"/>
                <w:rtl/>
              </w:rPr>
              <w:t>:</w:t>
            </w:r>
          </w:p>
        </w:tc>
        <w:tc>
          <w:tcPr>
            <w:tcW w:w="845" w:type="pct"/>
          </w:tcPr>
          <w:p w14:paraId="09ED3520" w14:textId="77777777" w:rsidR="00E73B5A" w:rsidRPr="005B039F" w:rsidRDefault="00E73B5A">
            <w:pPr>
              <w:spacing w:before="100" w:beforeAutospacing="1" w:after="100" w:afterAutospacing="1"/>
              <w:rPr>
                <w:rFonts w:ascii="David" w:hAnsi="David"/>
                <w:sz w:val="24"/>
              </w:rPr>
            </w:pPr>
          </w:p>
        </w:tc>
        <w:tc>
          <w:tcPr>
            <w:tcW w:w="352" w:type="pct"/>
          </w:tcPr>
          <w:p w14:paraId="6C1BD54E" w14:textId="77777777" w:rsidR="00E73B5A" w:rsidRPr="005B039F" w:rsidRDefault="00681711">
            <w:pPr>
              <w:spacing w:before="100" w:beforeAutospacing="1" w:after="100" w:afterAutospacing="1"/>
              <w:rPr>
                <w:rFonts w:ascii="David" w:hAnsi="David"/>
                <w:sz w:val="24"/>
              </w:rPr>
            </w:pPr>
            <w:r w:rsidRPr="005B039F">
              <w:rPr>
                <w:rFonts w:ascii="David" w:hAnsi="David"/>
                <w:sz w:val="24"/>
                <w:rtl/>
              </w:rPr>
              <w:t>1</w:t>
            </w:r>
          </w:p>
        </w:tc>
        <w:tc>
          <w:tcPr>
            <w:tcW w:w="2887" w:type="pct"/>
          </w:tcPr>
          <w:p w14:paraId="02D2F286" w14:textId="795D1B8A" w:rsidR="00E73B5A" w:rsidRPr="005B039F" w:rsidRDefault="00681711">
            <w:pPr>
              <w:spacing w:before="100" w:beforeAutospacing="1" w:after="100" w:afterAutospacing="1" w:line="276" w:lineRule="auto"/>
              <w:rPr>
                <w:rFonts w:ascii="David" w:hAnsi="David"/>
                <w:sz w:val="24"/>
                <w:rtl/>
              </w:rPr>
            </w:pPr>
            <w:r w:rsidRPr="005B039F">
              <w:rPr>
                <w:rFonts w:ascii="David" w:hAnsi="David"/>
                <w:sz w:val="24"/>
                <w:rtl/>
              </w:rPr>
              <w:t>סאלם אריה</w:t>
            </w:r>
            <w:r w:rsidRPr="005B039F">
              <w:br/>
            </w:r>
          </w:p>
        </w:tc>
      </w:tr>
      <w:tr w:rsidR="005B039F" w:rsidRPr="005B039F" w14:paraId="3A09E023" w14:textId="77777777">
        <w:tc>
          <w:tcPr>
            <w:tcW w:w="916" w:type="pct"/>
          </w:tcPr>
          <w:p w14:paraId="5399D55D" w14:textId="77777777" w:rsidR="00E73B5A" w:rsidRPr="005B039F" w:rsidRDefault="00E73B5A">
            <w:pPr>
              <w:spacing w:before="100" w:beforeAutospacing="1" w:after="100" w:afterAutospacing="1" w:line="276" w:lineRule="auto"/>
              <w:rPr>
                <w:rFonts w:ascii="David" w:hAnsi="David"/>
                <w:sz w:val="24"/>
                <w:rtl/>
              </w:rPr>
            </w:pPr>
          </w:p>
        </w:tc>
        <w:tc>
          <w:tcPr>
            <w:tcW w:w="845" w:type="pct"/>
          </w:tcPr>
          <w:p w14:paraId="4F9B3051" w14:textId="77777777" w:rsidR="00E73B5A" w:rsidRPr="005B039F" w:rsidRDefault="00E73B5A">
            <w:pPr>
              <w:spacing w:before="100" w:beforeAutospacing="1" w:after="100" w:afterAutospacing="1"/>
              <w:rPr>
                <w:rFonts w:ascii="David" w:hAnsi="David"/>
                <w:sz w:val="24"/>
              </w:rPr>
            </w:pPr>
          </w:p>
        </w:tc>
        <w:tc>
          <w:tcPr>
            <w:tcW w:w="352" w:type="pct"/>
          </w:tcPr>
          <w:p w14:paraId="0F9983F9" w14:textId="77777777" w:rsidR="00E73B5A" w:rsidRPr="005B039F" w:rsidRDefault="00681711">
            <w:pPr>
              <w:spacing w:before="100" w:beforeAutospacing="1" w:after="100" w:afterAutospacing="1"/>
              <w:rPr>
                <w:rFonts w:ascii="David" w:hAnsi="David"/>
                <w:sz w:val="24"/>
              </w:rPr>
            </w:pPr>
            <w:r w:rsidRPr="005B039F">
              <w:rPr>
                <w:rFonts w:ascii="David" w:hAnsi="David"/>
                <w:sz w:val="24"/>
                <w:rtl/>
              </w:rPr>
              <w:t>2</w:t>
            </w:r>
          </w:p>
        </w:tc>
        <w:tc>
          <w:tcPr>
            <w:tcW w:w="2887" w:type="pct"/>
          </w:tcPr>
          <w:p w14:paraId="0F689431" w14:textId="03F671F3" w:rsidR="00E73B5A" w:rsidRPr="005B039F" w:rsidRDefault="00681711">
            <w:pPr>
              <w:spacing w:before="100" w:beforeAutospacing="1" w:after="100" w:afterAutospacing="1" w:line="276" w:lineRule="auto"/>
              <w:rPr>
                <w:rFonts w:ascii="David" w:hAnsi="David"/>
                <w:sz w:val="24"/>
                <w:rtl/>
              </w:rPr>
            </w:pPr>
            <w:r w:rsidRPr="005B039F">
              <w:rPr>
                <w:rFonts w:ascii="David" w:hAnsi="David"/>
                <w:sz w:val="24"/>
                <w:rtl/>
              </w:rPr>
              <w:t>סאלם משה</w:t>
            </w:r>
            <w:r w:rsidRPr="005B039F">
              <w:br/>
            </w:r>
          </w:p>
        </w:tc>
      </w:tr>
      <w:tr w:rsidR="005B039F" w:rsidRPr="005B039F" w14:paraId="57CBCBAF" w14:textId="77777777">
        <w:tc>
          <w:tcPr>
            <w:tcW w:w="916" w:type="pct"/>
          </w:tcPr>
          <w:p w14:paraId="27E86B5E" w14:textId="77777777" w:rsidR="00E73B5A" w:rsidRPr="005B039F" w:rsidRDefault="00E73B5A">
            <w:pPr>
              <w:spacing w:before="100" w:beforeAutospacing="1" w:after="100" w:afterAutospacing="1" w:line="276" w:lineRule="auto"/>
              <w:rPr>
                <w:rFonts w:ascii="David" w:hAnsi="David"/>
                <w:sz w:val="24"/>
                <w:rtl/>
              </w:rPr>
            </w:pPr>
          </w:p>
        </w:tc>
        <w:tc>
          <w:tcPr>
            <w:tcW w:w="845" w:type="pct"/>
          </w:tcPr>
          <w:p w14:paraId="1A6BC806" w14:textId="77777777" w:rsidR="00E73B5A" w:rsidRPr="005B039F" w:rsidRDefault="00E73B5A">
            <w:pPr>
              <w:spacing w:before="100" w:beforeAutospacing="1" w:after="100" w:afterAutospacing="1"/>
              <w:rPr>
                <w:rFonts w:ascii="David" w:hAnsi="David"/>
                <w:sz w:val="24"/>
              </w:rPr>
            </w:pPr>
          </w:p>
        </w:tc>
        <w:tc>
          <w:tcPr>
            <w:tcW w:w="352" w:type="pct"/>
          </w:tcPr>
          <w:p w14:paraId="33E53D9C" w14:textId="77777777" w:rsidR="00E73B5A" w:rsidRPr="005B039F" w:rsidRDefault="00681711">
            <w:pPr>
              <w:spacing w:before="100" w:beforeAutospacing="1" w:after="100" w:afterAutospacing="1"/>
              <w:rPr>
                <w:rFonts w:ascii="David" w:hAnsi="David"/>
                <w:sz w:val="24"/>
              </w:rPr>
            </w:pPr>
            <w:r w:rsidRPr="005B039F">
              <w:rPr>
                <w:rFonts w:ascii="David" w:hAnsi="David"/>
                <w:sz w:val="24"/>
                <w:rtl/>
              </w:rPr>
              <w:t>3</w:t>
            </w:r>
          </w:p>
        </w:tc>
        <w:tc>
          <w:tcPr>
            <w:tcW w:w="2887" w:type="pct"/>
          </w:tcPr>
          <w:p w14:paraId="7C7962AF" w14:textId="207E31A6" w:rsidR="00E73B5A" w:rsidRPr="005B039F" w:rsidRDefault="00681711">
            <w:pPr>
              <w:spacing w:before="100" w:beforeAutospacing="1" w:after="100" w:afterAutospacing="1" w:line="276" w:lineRule="auto"/>
              <w:rPr>
                <w:rFonts w:ascii="David" w:hAnsi="David"/>
                <w:sz w:val="24"/>
                <w:rtl/>
              </w:rPr>
            </w:pPr>
            <w:r w:rsidRPr="005B039F">
              <w:rPr>
                <w:rFonts w:ascii="David" w:hAnsi="David"/>
                <w:sz w:val="24"/>
                <w:rtl/>
              </w:rPr>
              <w:t>דהרי לאה</w:t>
            </w:r>
            <w:r w:rsidRPr="005B039F">
              <w:br/>
            </w:r>
          </w:p>
        </w:tc>
      </w:tr>
      <w:tr w:rsidR="005B039F" w:rsidRPr="005B039F" w14:paraId="4853C5B5" w14:textId="77777777">
        <w:tc>
          <w:tcPr>
            <w:tcW w:w="916" w:type="pct"/>
          </w:tcPr>
          <w:p w14:paraId="4051D902" w14:textId="77777777" w:rsidR="00E73B5A" w:rsidRPr="005B039F" w:rsidRDefault="00E73B5A">
            <w:pPr>
              <w:spacing w:before="100" w:beforeAutospacing="1" w:after="100" w:afterAutospacing="1" w:line="276" w:lineRule="auto"/>
              <w:rPr>
                <w:rFonts w:ascii="David" w:hAnsi="David"/>
                <w:sz w:val="24"/>
                <w:rtl/>
              </w:rPr>
            </w:pPr>
          </w:p>
        </w:tc>
        <w:tc>
          <w:tcPr>
            <w:tcW w:w="845" w:type="pct"/>
          </w:tcPr>
          <w:p w14:paraId="1EFEF2CD" w14:textId="77777777" w:rsidR="00E73B5A" w:rsidRPr="005B039F" w:rsidRDefault="00E73B5A">
            <w:pPr>
              <w:spacing w:before="100" w:beforeAutospacing="1" w:after="100" w:afterAutospacing="1"/>
              <w:rPr>
                <w:rFonts w:ascii="David" w:hAnsi="David"/>
                <w:sz w:val="24"/>
              </w:rPr>
            </w:pPr>
          </w:p>
        </w:tc>
        <w:tc>
          <w:tcPr>
            <w:tcW w:w="352" w:type="pct"/>
          </w:tcPr>
          <w:p w14:paraId="35B56A7B" w14:textId="77777777" w:rsidR="00E73B5A" w:rsidRPr="005B039F" w:rsidRDefault="00E73B5A">
            <w:pPr>
              <w:spacing w:before="100" w:beforeAutospacing="1" w:after="100" w:afterAutospacing="1"/>
              <w:rPr>
                <w:rFonts w:ascii="David" w:hAnsi="David"/>
                <w:sz w:val="24"/>
              </w:rPr>
            </w:pPr>
          </w:p>
        </w:tc>
        <w:tc>
          <w:tcPr>
            <w:tcW w:w="2887" w:type="pct"/>
          </w:tcPr>
          <w:p w14:paraId="0BC2B984" w14:textId="77777777" w:rsidR="00E73B5A" w:rsidRPr="005B039F" w:rsidRDefault="00681711">
            <w:pPr>
              <w:spacing w:before="100" w:beforeAutospacing="1" w:after="100" w:afterAutospacing="1" w:line="276" w:lineRule="auto"/>
              <w:rPr>
                <w:rFonts w:ascii="David" w:hAnsi="David"/>
                <w:sz w:val="24"/>
                <w:rtl/>
              </w:rPr>
            </w:pPr>
            <w:r w:rsidRPr="005B039F">
              <w:rPr>
                <w:rFonts w:ascii="David" w:hAnsi="David"/>
                <w:sz w:val="24"/>
                <w:rtl/>
              </w:rPr>
              <w:t>באמצעות ב"כ: עו"ד דנוך משה</w:t>
            </w:r>
            <w:r w:rsidRPr="005B039F">
              <w:br/>
            </w:r>
            <w:r w:rsidRPr="005B039F">
              <w:rPr>
                <w:rFonts w:ascii="David" w:hAnsi="David"/>
                <w:sz w:val="24"/>
                <w:rtl/>
              </w:rPr>
              <w:t>ויצמן 7, באר שבע</w:t>
            </w:r>
            <w:r w:rsidRPr="005B039F">
              <w:br/>
            </w:r>
            <w:r w:rsidRPr="005B039F">
              <w:rPr>
                <w:rFonts w:ascii="David" w:hAnsi="David"/>
                <w:sz w:val="24"/>
                <w:rtl/>
              </w:rPr>
              <w:t>טל':086237263 פקס:086239291</w:t>
            </w:r>
            <w:r w:rsidRPr="005B039F">
              <w:br/>
            </w:r>
          </w:p>
        </w:tc>
      </w:tr>
      <w:tr w:rsidR="005B039F" w:rsidRPr="005B039F" w14:paraId="729D4C44" w14:textId="77777777">
        <w:tc>
          <w:tcPr>
            <w:tcW w:w="916" w:type="pct"/>
          </w:tcPr>
          <w:p w14:paraId="50D498E7" w14:textId="77777777" w:rsidR="00E73B5A" w:rsidRPr="005B039F" w:rsidRDefault="00E73B5A">
            <w:pPr>
              <w:spacing w:before="100" w:beforeAutospacing="1" w:after="100" w:afterAutospacing="1" w:line="276" w:lineRule="auto"/>
              <w:rPr>
                <w:rFonts w:ascii="David" w:hAnsi="David"/>
                <w:sz w:val="24"/>
                <w:rtl/>
              </w:rPr>
            </w:pPr>
          </w:p>
        </w:tc>
        <w:tc>
          <w:tcPr>
            <w:tcW w:w="845" w:type="pct"/>
          </w:tcPr>
          <w:p w14:paraId="06FAC231" w14:textId="77777777" w:rsidR="00E73B5A" w:rsidRPr="005B039F" w:rsidRDefault="00E73B5A">
            <w:pPr>
              <w:spacing w:before="100" w:beforeAutospacing="1" w:after="100" w:afterAutospacing="1"/>
              <w:rPr>
                <w:rFonts w:ascii="David" w:hAnsi="David"/>
                <w:sz w:val="24"/>
              </w:rPr>
            </w:pPr>
          </w:p>
        </w:tc>
        <w:tc>
          <w:tcPr>
            <w:tcW w:w="352" w:type="pct"/>
          </w:tcPr>
          <w:p w14:paraId="5CF89755" w14:textId="77777777" w:rsidR="00E73B5A" w:rsidRPr="005B039F" w:rsidRDefault="00681711">
            <w:pPr>
              <w:spacing w:before="100" w:beforeAutospacing="1" w:after="100" w:afterAutospacing="1"/>
              <w:rPr>
                <w:rFonts w:ascii="David" w:hAnsi="David"/>
                <w:sz w:val="24"/>
              </w:rPr>
            </w:pPr>
            <w:r w:rsidRPr="005B039F">
              <w:rPr>
                <w:rFonts w:ascii="David" w:hAnsi="David"/>
                <w:b/>
                <w:bCs/>
                <w:sz w:val="24"/>
                <w:rtl/>
              </w:rPr>
              <w:t>נגד</w:t>
            </w:r>
            <w:r w:rsidRPr="005B039F">
              <w:br/>
            </w:r>
          </w:p>
        </w:tc>
        <w:tc>
          <w:tcPr>
            <w:tcW w:w="2887" w:type="pct"/>
          </w:tcPr>
          <w:p w14:paraId="47D2874C" w14:textId="77777777" w:rsidR="00E73B5A" w:rsidRPr="005B039F" w:rsidRDefault="00E73B5A">
            <w:pPr>
              <w:spacing w:before="100" w:beforeAutospacing="1" w:after="100" w:afterAutospacing="1" w:line="276" w:lineRule="auto"/>
              <w:rPr>
                <w:rFonts w:ascii="David" w:hAnsi="David"/>
                <w:sz w:val="24"/>
                <w:rtl/>
              </w:rPr>
            </w:pPr>
          </w:p>
        </w:tc>
      </w:tr>
      <w:tr w:rsidR="005B039F" w:rsidRPr="005B039F" w14:paraId="5B021FE6" w14:textId="77777777">
        <w:tc>
          <w:tcPr>
            <w:tcW w:w="916" w:type="pct"/>
          </w:tcPr>
          <w:p w14:paraId="1783CEDB" w14:textId="3B9B07F5" w:rsidR="00E73B5A" w:rsidRPr="005B039F" w:rsidRDefault="005B039F">
            <w:pPr>
              <w:spacing w:before="100" w:beforeAutospacing="1" w:after="100" w:afterAutospacing="1" w:line="276" w:lineRule="auto"/>
              <w:rPr>
                <w:rFonts w:ascii="David" w:hAnsi="David"/>
                <w:sz w:val="24"/>
                <w:rtl/>
              </w:rPr>
            </w:pPr>
            <w:r w:rsidRPr="005B039F">
              <w:rPr>
                <w:rFonts w:ascii="David" w:hAnsi="David" w:hint="cs"/>
                <w:sz w:val="24"/>
                <w:rtl/>
              </w:rPr>
              <w:t>ה</w:t>
            </w:r>
            <w:r w:rsidR="00681711" w:rsidRPr="005B039F">
              <w:rPr>
                <w:rFonts w:ascii="David" w:hAnsi="David"/>
                <w:sz w:val="24"/>
                <w:rtl/>
              </w:rPr>
              <w:t>נתבעים</w:t>
            </w:r>
            <w:r w:rsidRPr="005B039F">
              <w:rPr>
                <w:rFonts w:ascii="David" w:hAnsi="David" w:hint="cs"/>
                <w:sz w:val="24"/>
                <w:rtl/>
              </w:rPr>
              <w:t>:</w:t>
            </w:r>
          </w:p>
        </w:tc>
        <w:tc>
          <w:tcPr>
            <w:tcW w:w="845" w:type="pct"/>
          </w:tcPr>
          <w:p w14:paraId="36A36EAB" w14:textId="77777777" w:rsidR="00E73B5A" w:rsidRPr="005B039F" w:rsidRDefault="00E73B5A">
            <w:pPr>
              <w:spacing w:before="100" w:beforeAutospacing="1" w:after="100" w:afterAutospacing="1"/>
              <w:rPr>
                <w:rFonts w:ascii="David" w:hAnsi="David"/>
                <w:sz w:val="24"/>
              </w:rPr>
            </w:pPr>
          </w:p>
        </w:tc>
        <w:tc>
          <w:tcPr>
            <w:tcW w:w="352" w:type="pct"/>
          </w:tcPr>
          <w:p w14:paraId="36D9580F" w14:textId="77777777" w:rsidR="00E73B5A" w:rsidRPr="005B039F" w:rsidRDefault="00681711">
            <w:pPr>
              <w:spacing w:before="100" w:beforeAutospacing="1" w:after="100" w:afterAutospacing="1"/>
              <w:rPr>
                <w:rFonts w:ascii="David" w:hAnsi="David"/>
                <w:sz w:val="24"/>
              </w:rPr>
            </w:pPr>
            <w:r w:rsidRPr="005B039F">
              <w:rPr>
                <w:rFonts w:ascii="David" w:hAnsi="David"/>
                <w:sz w:val="24"/>
                <w:rtl/>
              </w:rPr>
              <w:t>1</w:t>
            </w:r>
          </w:p>
        </w:tc>
        <w:tc>
          <w:tcPr>
            <w:tcW w:w="2887" w:type="pct"/>
          </w:tcPr>
          <w:p w14:paraId="4B140B4B" w14:textId="244373E4" w:rsidR="00E73B5A" w:rsidRPr="005B039F" w:rsidRDefault="00681711">
            <w:pPr>
              <w:spacing w:before="100" w:beforeAutospacing="1" w:after="100" w:afterAutospacing="1" w:line="276" w:lineRule="auto"/>
              <w:rPr>
                <w:rFonts w:ascii="David" w:hAnsi="David"/>
                <w:sz w:val="24"/>
                <w:rtl/>
              </w:rPr>
            </w:pPr>
            <w:r w:rsidRPr="005B039F">
              <w:rPr>
                <w:rFonts w:ascii="David" w:hAnsi="David"/>
                <w:sz w:val="24"/>
                <w:rtl/>
              </w:rPr>
              <w:t>ברזל צבי דוד</w:t>
            </w:r>
            <w:r w:rsidRPr="005B039F">
              <w:br/>
            </w:r>
            <w:r w:rsidRPr="005B039F">
              <w:rPr>
                <w:rFonts w:ascii="David" w:hAnsi="David"/>
                <w:sz w:val="24"/>
                <w:rtl/>
              </w:rPr>
              <w:t>שמחוני 5, בני ברק</w:t>
            </w:r>
            <w:r w:rsidRPr="005B039F">
              <w:br/>
            </w:r>
            <w:r w:rsidRPr="005B039F">
              <w:rPr>
                <w:rFonts w:ascii="David" w:hAnsi="David"/>
                <w:sz w:val="24"/>
                <w:rtl/>
              </w:rPr>
              <w:t xml:space="preserve">טל':058-7069143 </w:t>
            </w:r>
            <w:r w:rsidRPr="005B039F">
              <w:br/>
            </w:r>
          </w:p>
        </w:tc>
      </w:tr>
      <w:tr w:rsidR="005B039F" w:rsidRPr="005B039F" w14:paraId="4BCACC1D" w14:textId="77777777">
        <w:tc>
          <w:tcPr>
            <w:tcW w:w="916" w:type="pct"/>
          </w:tcPr>
          <w:p w14:paraId="7B8EAAB8" w14:textId="77777777" w:rsidR="00E73B5A" w:rsidRPr="005B039F" w:rsidRDefault="00E73B5A">
            <w:pPr>
              <w:spacing w:before="100" w:beforeAutospacing="1" w:after="100" w:afterAutospacing="1" w:line="276" w:lineRule="auto"/>
              <w:rPr>
                <w:rFonts w:ascii="David" w:hAnsi="David"/>
                <w:sz w:val="24"/>
                <w:rtl/>
              </w:rPr>
            </w:pPr>
          </w:p>
        </w:tc>
        <w:tc>
          <w:tcPr>
            <w:tcW w:w="845" w:type="pct"/>
          </w:tcPr>
          <w:p w14:paraId="2B3851D3" w14:textId="77777777" w:rsidR="00E73B5A" w:rsidRPr="005B039F" w:rsidRDefault="00E73B5A">
            <w:pPr>
              <w:spacing w:before="100" w:beforeAutospacing="1" w:after="100" w:afterAutospacing="1"/>
              <w:rPr>
                <w:rFonts w:ascii="David" w:hAnsi="David"/>
                <w:sz w:val="24"/>
              </w:rPr>
            </w:pPr>
          </w:p>
        </w:tc>
        <w:tc>
          <w:tcPr>
            <w:tcW w:w="352" w:type="pct"/>
          </w:tcPr>
          <w:p w14:paraId="2AA7E498" w14:textId="77777777" w:rsidR="00E73B5A" w:rsidRPr="005B039F" w:rsidRDefault="00681711">
            <w:pPr>
              <w:spacing w:before="100" w:beforeAutospacing="1" w:after="100" w:afterAutospacing="1"/>
              <w:rPr>
                <w:rFonts w:ascii="David" w:hAnsi="David"/>
                <w:sz w:val="24"/>
              </w:rPr>
            </w:pPr>
            <w:r w:rsidRPr="005B039F">
              <w:rPr>
                <w:rFonts w:ascii="David" w:hAnsi="David"/>
                <w:sz w:val="24"/>
                <w:rtl/>
              </w:rPr>
              <w:t>2</w:t>
            </w:r>
          </w:p>
        </w:tc>
        <w:tc>
          <w:tcPr>
            <w:tcW w:w="2887" w:type="pct"/>
          </w:tcPr>
          <w:p w14:paraId="05F96600" w14:textId="4AC1A95A" w:rsidR="00E73B5A" w:rsidRPr="005B039F" w:rsidRDefault="00681711">
            <w:pPr>
              <w:spacing w:before="100" w:beforeAutospacing="1" w:after="100" w:afterAutospacing="1" w:line="276" w:lineRule="auto"/>
              <w:rPr>
                <w:rFonts w:ascii="David" w:hAnsi="David"/>
                <w:sz w:val="24"/>
                <w:rtl/>
              </w:rPr>
            </w:pPr>
            <w:r w:rsidRPr="005B039F">
              <w:rPr>
                <w:rFonts w:ascii="David" w:hAnsi="David"/>
                <w:sz w:val="24"/>
                <w:rtl/>
              </w:rPr>
              <w:t>ברזל אסתר</w:t>
            </w:r>
            <w:r w:rsidRPr="005B039F">
              <w:br/>
            </w:r>
            <w:r w:rsidRPr="005B039F">
              <w:rPr>
                <w:rFonts w:ascii="David" w:hAnsi="David"/>
                <w:sz w:val="24"/>
                <w:rtl/>
              </w:rPr>
              <w:t>שמחוני 5, בני ברק</w:t>
            </w:r>
            <w:r w:rsidRPr="005B039F">
              <w:br/>
            </w:r>
          </w:p>
        </w:tc>
      </w:tr>
    </w:tbl>
    <w:p w14:paraId="0C64CE4D" w14:textId="77777777" w:rsidR="00850B49" w:rsidRPr="005B039F" w:rsidRDefault="00850B49" w:rsidP="008A2AB4">
      <w:pPr>
        <w:contextualSpacing w:val="0"/>
        <w:rPr>
          <w:rFonts w:ascii="David" w:hAnsi="David"/>
          <w:sz w:val="24"/>
        </w:rPr>
      </w:pPr>
    </w:p>
    <w:p w14:paraId="124B1D58" w14:textId="77777777" w:rsidR="003F0297" w:rsidRPr="005B039F" w:rsidRDefault="001E56A2" w:rsidP="00E17AC8">
      <w:pPr>
        <w:spacing w:before="200"/>
        <w:ind w:firstLine="720"/>
        <w:contextualSpacing w:val="0"/>
        <w:jc w:val="center"/>
        <w:outlineLvl w:val="0"/>
        <w:rPr>
          <w:rFonts w:ascii="David" w:hAnsi="David"/>
          <w:b/>
          <w:bCs/>
          <w:sz w:val="32"/>
          <w:szCs w:val="32"/>
          <w:u w:val="single"/>
          <w:rtl/>
        </w:rPr>
      </w:pPr>
      <w:r w:rsidRPr="005B039F">
        <w:rPr>
          <w:rFonts w:ascii="David" w:hAnsi="David"/>
          <w:b/>
          <w:bCs/>
          <w:noProof/>
          <w:sz w:val="24"/>
          <w:szCs w:val="32"/>
          <w:u w:val="single"/>
          <w:rtl/>
        </w:rPr>
        <w:t>פסק דין</w:t>
      </w:r>
    </w:p>
    <w:p w14:paraId="74A16A3C" w14:textId="77777777" w:rsidR="005B039F" w:rsidRPr="005B039F" w:rsidRDefault="005B039F" w:rsidP="005B039F">
      <w:pPr>
        <w:spacing w:before="100" w:beforeAutospacing="1" w:after="240" w:line="360" w:lineRule="auto"/>
        <w:contextualSpacing w:val="0"/>
        <w:jc w:val="both"/>
        <w:rPr>
          <w:b/>
          <w:bCs/>
          <w:sz w:val="24"/>
          <w:rtl/>
        </w:rPr>
      </w:pPr>
      <w:r w:rsidRPr="005B039F">
        <w:rPr>
          <w:b/>
          <w:bCs/>
          <w:sz w:val="24"/>
          <w:rtl/>
        </w:rPr>
        <w:t>עניינה של התביעה שלפניי בבקשה למתן צו עשה אשר יורה לנתבע</w:t>
      </w:r>
      <w:r w:rsidRPr="005B039F">
        <w:rPr>
          <w:rFonts w:hint="cs"/>
          <w:b/>
          <w:bCs/>
          <w:sz w:val="24"/>
          <w:rtl/>
        </w:rPr>
        <w:t>ים</w:t>
      </w:r>
      <w:r w:rsidRPr="005B039F">
        <w:rPr>
          <w:b/>
          <w:bCs/>
          <w:sz w:val="24"/>
          <w:rtl/>
        </w:rPr>
        <w:t xml:space="preserve">, </w:t>
      </w:r>
      <w:r w:rsidRPr="005B039F">
        <w:rPr>
          <w:rFonts w:hint="cs"/>
          <w:b/>
          <w:bCs/>
          <w:sz w:val="24"/>
          <w:rtl/>
        </w:rPr>
        <w:t>מר ברזל צבי דוד וגב' ברזל אסתר,</w:t>
      </w:r>
      <w:r w:rsidRPr="005B039F">
        <w:rPr>
          <w:b/>
          <w:bCs/>
          <w:sz w:val="24"/>
          <w:rtl/>
        </w:rPr>
        <w:t xml:space="preserve"> </w:t>
      </w:r>
      <w:r w:rsidRPr="005B039F">
        <w:rPr>
          <w:rFonts w:hint="cs"/>
          <w:b/>
          <w:bCs/>
          <w:sz w:val="24"/>
          <w:rtl/>
        </w:rPr>
        <w:t xml:space="preserve">לבצע עבודות שונות בדירתם וברכוש המשותף. </w:t>
      </w:r>
      <w:r w:rsidRPr="005B039F">
        <w:rPr>
          <w:b/>
          <w:bCs/>
          <w:sz w:val="24"/>
          <w:rtl/>
        </w:rPr>
        <w:t xml:space="preserve">אקדים ואומר כי דין התביעה </w:t>
      </w:r>
      <w:r w:rsidRPr="005B039F">
        <w:rPr>
          <w:rFonts w:hint="cs"/>
          <w:b/>
          <w:bCs/>
          <w:sz w:val="24"/>
          <w:rtl/>
        </w:rPr>
        <w:t>להידחות בעיקרה</w:t>
      </w:r>
      <w:r w:rsidRPr="005B039F">
        <w:rPr>
          <w:b/>
          <w:bCs/>
          <w:sz w:val="24"/>
          <w:rtl/>
        </w:rPr>
        <w:t xml:space="preserve">. </w:t>
      </w:r>
    </w:p>
    <w:p w14:paraId="6F75810C" w14:textId="77777777" w:rsidR="005B039F" w:rsidRPr="005B039F" w:rsidRDefault="005B039F" w:rsidP="005B039F">
      <w:pPr>
        <w:spacing w:before="100" w:beforeAutospacing="1" w:after="240" w:line="360" w:lineRule="auto"/>
        <w:contextualSpacing w:val="0"/>
        <w:jc w:val="both"/>
        <w:rPr>
          <w:rtl/>
        </w:rPr>
      </w:pPr>
      <w:r w:rsidRPr="005B039F">
        <w:rPr>
          <w:rFonts w:hint="cs"/>
          <w:rtl/>
        </w:rPr>
        <w:t xml:space="preserve">תיק זה הועבר לטיפולי לאחר מינויה של כב' המפקחת </w:t>
      </w:r>
      <w:r w:rsidRPr="005B039F">
        <w:rPr>
          <w:rFonts w:hint="cs"/>
          <w:b/>
          <w:bCs/>
          <w:rtl/>
        </w:rPr>
        <w:t>צ' קוינט שילוני</w:t>
      </w:r>
      <w:r w:rsidRPr="005B039F">
        <w:rPr>
          <w:rFonts w:hint="cs"/>
          <w:rtl/>
        </w:rPr>
        <w:t xml:space="preserve"> (להלן: "</w:t>
      </w:r>
      <w:r w:rsidRPr="005B039F">
        <w:rPr>
          <w:rFonts w:hint="cs"/>
          <w:b/>
          <w:bCs/>
          <w:rtl/>
        </w:rPr>
        <w:t>המפקחת</w:t>
      </w:r>
      <w:r w:rsidRPr="005B039F">
        <w:rPr>
          <w:rFonts w:hint="cs"/>
          <w:rtl/>
        </w:rPr>
        <w:t>") לשיפוט. לאחר עיון בתיק החלטתי להמשיך את הטיפול בו מהשלב אליו הגיעה המפקחת, לאחר מתן החלטה בדבר דיון הוכחות, וזאת בהתאם לסמכותי לפי סעיף 75(ב) לחוק המקרקעין, התשכ"ט-1969 (להלן: "</w:t>
      </w:r>
      <w:r w:rsidRPr="005B039F">
        <w:rPr>
          <w:rFonts w:hint="cs"/>
          <w:b/>
          <w:bCs/>
          <w:rtl/>
        </w:rPr>
        <w:t>חוק המקרקעין</w:t>
      </w:r>
      <w:r w:rsidRPr="005B039F">
        <w:rPr>
          <w:rFonts w:hint="cs"/>
          <w:rtl/>
        </w:rPr>
        <w:t>").</w:t>
      </w:r>
    </w:p>
    <w:p w14:paraId="09E48FF1" w14:textId="77777777" w:rsidR="005B039F" w:rsidRPr="005B039F" w:rsidRDefault="005B039F" w:rsidP="00716F71">
      <w:pPr>
        <w:spacing w:before="100" w:beforeAutospacing="1" w:after="240" w:line="360" w:lineRule="auto"/>
        <w:contextualSpacing w:val="0"/>
        <w:jc w:val="both"/>
        <w:outlineLvl w:val="1"/>
        <w:rPr>
          <w:rFonts w:ascii="David" w:hAnsi="David"/>
          <w:b/>
          <w:bCs/>
          <w:sz w:val="24"/>
          <w:rtl/>
        </w:rPr>
      </w:pPr>
      <w:r w:rsidRPr="005B039F">
        <w:rPr>
          <w:rFonts w:ascii="David" w:hAnsi="David"/>
          <w:b/>
          <w:bCs/>
          <w:sz w:val="24"/>
          <w:u w:val="single"/>
          <w:rtl/>
        </w:rPr>
        <w:t xml:space="preserve">רקע עובדתי והשתלשלות ההליך </w:t>
      </w:r>
    </w:p>
    <w:p w14:paraId="2072B74A"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ascii="David" w:hAnsi="David"/>
          <w:sz w:val="24"/>
          <w:rtl/>
        </w:rPr>
        <w:t xml:space="preserve">ענייננו בבית משותף ברחוב </w:t>
      </w:r>
      <w:r w:rsidRPr="005B039F">
        <w:rPr>
          <w:rFonts w:ascii="David" w:hAnsi="David" w:hint="cs"/>
          <w:sz w:val="24"/>
          <w:rtl/>
        </w:rPr>
        <w:t>א.ד. גורדון 5 באר שבע</w:t>
      </w:r>
      <w:r w:rsidRPr="005B039F">
        <w:rPr>
          <w:rFonts w:ascii="David" w:hAnsi="David"/>
          <w:sz w:val="24"/>
          <w:rtl/>
        </w:rPr>
        <w:t xml:space="preserve"> המצוי במקרקעין הידועים כגוש </w:t>
      </w:r>
      <w:r w:rsidRPr="005B039F">
        <w:rPr>
          <w:rFonts w:ascii="David" w:hAnsi="David" w:hint="cs"/>
          <w:sz w:val="24"/>
          <w:rtl/>
        </w:rPr>
        <w:t>38023</w:t>
      </w:r>
      <w:r w:rsidRPr="005B039F">
        <w:rPr>
          <w:rFonts w:ascii="David" w:hAnsi="David"/>
          <w:sz w:val="24"/>
          <w:rtl/>
        </w:rPr>
        <w:t xml:space="preserve"> חלקה </w:t>
      </w:r>
      <w:r w:rsidRPr="005B039F">
        <w:rPr>
          <w:rFonts w:ascii="David" w:hAnsi="David" w:hint="cs"/>
          <w:sz w:val="24"/>
          <w:rtl/>
        </w:rPr>
        <w:t>59</w:t>
      </w:r>
      <w:r w:rsidRPr="005B039F">
        <w:rPr>
          <w:rFonts w:ascii="David" w:hAnsi="David"/>
          <w:sz w:val="24"/>
          <w:rtl/>
        </w:rPr>
        <w:t xml:space="preserve"> (להלן: "</w:t>
      </w:r>
      <w:r w:rsidRPr="005B039F">
        <w:rPr>
          <w:rFonts w:ascii="David" w:hAnsi="David"/>
          <w:b/>
          <w:bCs/>
          <w:sz w:val="24"/>
          <w:rtl/>
        </w:rPr>
        <w:t>הבית המשותף</w:t>
      </w:r>
      <w:r w:rsidRPr="005B039F">
        <w:rPr>
          <w:rFonts w:ascii="David" w:hAnsi="David"/>
          <w:sz w:val="24"/>
          <w:rtl/>
        </w:rPr>
        <w:t>"). התובע</w:t>
      </w:r>
      <w:r w:rsidRPr="005B039F">
        <w:rPr>
          <w:rFonts w:ascii="David" w:hAnsi="David" w:hint="cs"/>
          <w:sz w:val="24"/>
          <w:rtl/>
        </w:rPr>
        <w:t xml:space="preserve">ים הם בעלי הזכויות בתת חלקה 1 בבית המשותף, והנתבעים הם בעלי הזכויות בתת חלקה 3 בבית המשותף. </w:t>
      </w:r>
    </w:p>
    <w:p w14:paraId="6BEE6833"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b/>
          <w:bCs/>
          <w:sz w:val="24"/>
          <w:u w:val="single"/>
        </w:rPr>
      </w:pPr>
      <w:r w:rsidRPr="005B039F">
        <w:rPr>
          <w:rFonts w:ascii="David" w:hAnsi="David" w:hint="cs"/>
          <w:sz w:val="24"/>
          <w:rtl/>
        </w:rPr>
        <w:lastRenderedPageBreak/>
        <w:t xml:space="preserve">החל משנת 2016 מגישים התובעים בהליך זה הליכים שונים נגד הנתבעים, בקשר עם עבודות שיפוץ שביצעו הנתבעים בדירתם וברכוש המשותף. </w:t>
      </w:r>
    </w:p>
    <w:p w14:paraId="34204FF5"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ascii="David" w:hAnsi="David"/>
          <w:sz w:val="24"/>
          <w:rtl/>
        </w:rPr>
        <w:t xml:space="preserve">ביום </w:t>
      </w:r>
      <w:r w:rsidRPr="005B039F">
        <w:rPr>
          <w:rFonts w:ascii="David" w:hAnsi="David" w:hint="cs"/>
          <w:sz w:val="24"/>
          <w:rtl/>
        </w:rPr>
        <w:t>28.3.2022</w:t>
      </w:r>
      <w:r w:rsidRPr="005B039F">
        <w:rPr>
          <w:rFonts w:ascii="David" w:hAnsi="David"/>
          <w:sz w:val="24"/>
          <w:rtl/>
        </w:rPr>
        <w:t xml:space="preserve"> הוגש</w:t>
      </w:r>
      <w:r w:rsidRPr="005B039F">
        <w:rPr>
          <w:rFonts w:ascii="David" w:hAnsi="David" w:hint="cs"/>
          <w:sz w:val="24"/>
          <w:rtl/>
        </w:rPr>
        <w:t>ה</w:t>
      </w:r>
      <w:r w:rsidRPr="005B039F">
        <w:rPr>
          <w:rFonts w:ascii="David" w:hAnsi="David"/>
          <w:sz w:val="24"/>
          <w:rtl/>
        </w:rPr>
        <w:t xml:space="preserve"> התביעה שלפניי</w:t>
      </w:r>
      <w:r w:rsidRPr="005B039F">
        <w:rPr>
          <w:rFonts w:ascii="David" w:hAnsi="David" w:hint="cs"/>
          <w:sz w:val="24"/>
          <w:rtl/>
        </w:rPr>
        <w:t xml:space="preserve">, אשר במסגרתה התבקשו צווי עשה ביחס לארבעה רכיבים: </w:t>
      </w:r>
    </w:p>
    <w:p w14:paraId="56A84557" w14:textId="77777777" w:rsidR="005B039F" w:rsidRPr="005B039F" w:rsidRDefault="005B039F" w:rsidP="005B039F">
      <w:pPr>
        <w:pStyle w:val="ac"/>
        <w:numPr>
          <w:ilvl w:val="0"/>
          <w:numId w:val="17"/>
        </w:numPr>
        <w:spacing w:before="100" w:beforeAutospacing="1" w:after="240" w:line="360" w:lineRule="auto"/>
        <w:contextualSpacing w:val="0"/>
        <w:jc w:val="both"/>
        <w:rPr>
          <w:rFonts w:ascii="David" w:hAnsi="David"/>
          <w:sz w:val="24"/>
        </w:rPr>
      </w:pPr>
      <w:r w:rsidRPr="005B039F">
        <w:rPr>
          <w:rFonts w:ascii="David" w:hAnsi="David" w:hint="cs"/>
          <w:sz w:val="24"/>
          <w:rtl/>
        </w:rPr>
        <w:t>פירוק קו הביוב שנבנה על-ידי הנתבעים ללא היתר ובניגוד לתקן.</w:t>
      </w:r>
    </w:p>
    <w:p w14:paraId="1079048F" w14:textId="77777777" w:rsidR="005B039F" w:rsidRPr="005B039F" w:rsidRDefault="005B039F" w:rsidP="005B039F">
      <w:pPr>
        <w:pStyle w:val="ac"/>
        <w:numPr>
          <w:ilvl w:val="0"/>
          <w:numId w:val="17"/>
        </w:numPr>
        <w:spacing w:before="100" w:beforeAutospacing="1" w:after="240" w:line="360" w:lineRule="auto"/>
        <w:contextualSpacing w:val="0"/>
        <w:jc w:val="both"/>
        <w:rPr>
          <w:rFonts w:ascii="David" w:hAnsi="David"/>
          <w:sz w:val="24"/>
        </w:rPr>
      </w:pPr>
      <w:r w:rsidRPr="005B039F">
        <w:rPr>
          <w:rFonts w:ascii="David" w:hAnsi="David" w:hint="cs"/>
          <w:sz w:val="24"/>
          <w:rtl/>
        </w:rPr>
        <w:t>החזרת מפלס שביל הגישה של הבית המשותף (שתחתיו נבנה קו הביוב) (להלן: "</w:t>
      </w:r>
      <w:r w:rsidRPr="005B039F">
        <w:rPr>
          <w:rFonts w:ascii="David" w:hAnsi="David" w:hint="cs"/>
          <w:b/>
          <w:bCs/>
          <w:sz w:val="24"/>
          <w:rtl/>
        </w:rPr>
        <w:t>שביל הגישה</w:t>
      </w:r>
      <w:r w:rsidRPr="005B039F">
        <w:rPr>
          <w:rFonts w:ascii="David" w:hAnsi="David" w:hint="cs"/>
          <w:sz w:val="24"/>
          <w:rtl/>
        </w:rPr>
        <w:t>") לקדמותו, כ-20 ס"מ נמוך מהגובה הנוכחי.</w:t>
      </w:r>
    </w:p>
    <w:p w14:paraId="0DB08F49" w14:textId="77777777" w:rsidR="005B039F" w:rsidRPr="005B039F" w:rsidRDefault="005B039F" w:rsidP="005B039F">
      <w:pPr>
        <w:pStyle w:val="ac"/>
        <w:numPr>
          <w:ilvl w:val="0"/>
          <w:numId w:val="17"/>
        </w:numPr>
        <w:spacing w:before="100" w:beforeAutospacing="1" w:after="240" w:line="360" w:lineRule="auto"/>
        <w:contextualSpacing w:val="0"/>
        <w:jc w:val="both"/>
        <w:rPr>
          <w:rFonts w:ascii="David" w:hAnsi="David"/>
          <w:sz w:val="24"/>
        </w:rPr>
      </w:pPr>
      <w:r w:rsidRPr="005B039F">
        <w:rPr>
          <w:rFonts w:ascii="David" w:hAnsi="David" w:hint="cs"/>
          <w:sz w:val="24"/>
          <w:rtl/>
        </w:rPr>
        <w:t>התקנות גשמות ומרזבים בהתאם לתקן הישראלי.</w:t>
      </w:r>
    </w:p>
    <w:p w14:paraId="497592E0" w14:textId="77777777" w:rsidR="005B039F" w:rsidRPr="005B039F" w:rsidRDefault="005B039F" w:rsidP="005B039F">
      <w:pPr>
        <w:pStyle w:val="ac"/>
        <w:numPr>
          <w:ilvl w:val="0"/>
          <w:numId w:val="17"/>
        </w:numPr>
        <w:spacing w:before="100" w:beforeAutospacing="1" w:after="240" w:line="360" w:lineRule="auto"/>
        <w:contextualSpacing w:val="0"/>
        <w:jc w:val="both"/>
        <w:rPr>
          <w:rFonts w:ascii="David" w:hAnsi="David"/>
          <w:sz w:val="24"/>
        </w:rPr>
      </w:pPr>
      <w:r w:rsidRPr="005B039F">
        <w:rPr>
          <w:rFonts w:ascii="David" w:hAnsi="David" w:hint="cs"/>
          <w:sz w:val="24"/>
          <w:rtl/>
        </w:rPr>
        <w:t xml:space="preserve">התקנת צינור שרשורי ממזגן הנתבעים, למניעת טפטוף על הקירות החיצוניים. </w:t>
      </w:r>
    </w:p>
    <w:p w14:paraId="3E906D6C" w14:textId="77777777" w:rsidR="005B039F" w:rsidRPr="005B039F" w:rsidRDefault="005B039F" w:rsidP="005B039F">
      <w:pPr>
        <w:pStyle w:val="ac"/>
        <w:numPr>
          <w:ilvl w:val="0"/>
          <w:numId w:val="15"/>
        </w:numPr>
        <w:spacing w:before="100" w:beforeAutospacing="1" w:after="240" w:line="360" w:lineRule="auto"/>
        <w:contextualSpacing w:val="0"/>
        <w:jc w:val="both"/>
        <w:rPr>
          <w:rFonts w:ascii="David" w:hAnsi="David"/>
          <w:sz w:val="24"/>
        </w:rPr>
      </w:pPr>
      <w:r w:rsidRPr="005B039F">
        <w:rPr>
          <w:rFonts w:ascii="David" w:hAnsi="David" w:hint="cs"/>
          <w:sz w:val="24"/>
          <w:rtl/>
        </w:rPr>
        <w:t>בכתב התביעה נטען כי הוראות דין שונות מחייבות את ביצוע העבודות. כמו כן, נטען שאי ביצוע העבודות גורם לנזקי רטיבות בדירת התובעים וברכוש המשותף.</w:t>
      </w:r>
    </w:p>
    <w:p w14:paraId="45C29E1A" w14:textId="77777777" w:rsidR="005B039F" w:rsidRPr="005B039F" w:rsidRDefault="005B039F" w:rsidP="005B039F">
      <w:pPr>
        <w:pStyle w:val="ac"/>
        <w:numPr>
          <w:ilvl w:val="0"/>
          <w:numId w:val="15"/>
        </w:numPr>
        <w:spacing w:before="100" w:beforeAutospacing="1" w:after="240" w:line="360" w:lineRule="auto"/>
        <w:contextualSpacing w:val="0"/>
        <w:jc w:val="both"/>
        <w:rPr>
          <w:rFonts w:ascii="David" w:hAnsi="David"/>
          <w:sz w:val="24"/>
        </w:rPr>
      </w:pPr>
      <w:r w:rsidRPr="005B039F">
        <w:rPr>
          <w:rFonts w:ascii="David" w:hAnsi="David" w:hint="cs"/>
          <w:sz w:val="24"/>
          <w:rtl/>
        </w:rPr>
        <w:t>בכתב הגנתם טענו הנתבעים כי ביום 9.6.2022 התקיים גישור מטעם עיריית באר שבע לבחינת פתרון למחלוקת בין הצדדים. נטען שבמסגרת הגישור סוכמו סיכומים שיש בהם כדי לייתר את בירור התביעה, ומשכך התייתר הצורך לדון בה. נטען שבמסגרת הגישור הוסכם שחוות הדעת מטעם התובעים, שצורפה לכתב התביעה, תוגש לתאגיד המים העירוני, אשר יבדוק האם הצנרת שהוצבה על-ידי הנתבעים הוצבה כראוי. כן נקבע כי הנתבעים יתקינו מרזב לגג ויאריכו את צינור הניקוז של המזגן כפי שמבוקש בכתב התביעה.</w:t>
      </w:r>
    </w:p>
    <w:p w14:paraId="56382B6D" w14:textId="77777777" w:rsidR="005B039F" w:rsidRPr="005B039F" w:rsidRDefault="005B039F" w:rsidP="005B039F">
      <w:pPr>
        <w:numPr>
          <w:ilvl w:val="0"/>
          <w:numId w:val="15"/>
        </w:numPr>
        <w:spacing w:before="100" w:beforeAutospacing="1" w:after="240" w:line="360" w:lineRule="auto"/>
        <w:contextualSpacing w:val="0"/>
        <w:jc w:val="both"/>
      </w:pPr>
      <w:r w:rsidRPr="005B039F">
        <w:rPr>
          <w:rFonts w:ascii="David" w:hAnsi="David" w:hint="cs"/>
          <w:sz w:val="24"/>
          <w:rtl/>
        </w:rPr>
        <w:t>לאחר העיון בכתב ההגנה ביקשה המפקחת את התייחסותם של התובעים, אולם אלה הודיעו כי יש להמשיך ולדון בתביעה וליתן לנתבעים לוחות זמנים לביצוע העבודות הנדרשות.</w:t>
      </w:r>
    </w:p>
    <w:p w14:paraId="43E6E896"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ascii="David" w:hAnsi="David" w:hint="cs"/>
          <w:sz w:val="24"/>
          <w:rtl/>
        </w:rPr>
        <w:t xml:space="preserve">ביום 11.9.2023 התקיים דיון מקדמי בנוכחות התובע 1 והנתבע 1 בסיומו קבעה המפקחת שהצדדים יודיעו בתוך שבעה ימים האם הנתבע מוכן לפעול בפרק זמן קצוב לביצוע התיקונים, בהתאם לסעדים שבכתב התביעה. נקבע כי </w:t>
      </w:r>
      <w:r w:rsidRPr="005B039F">
        <w:rPr>
          <w:rFonts w:hint="cs"/>
          <w:rtl/>
        </w:rPr>
        <w:t xml:space="preserve">במידה והצדדים לא יגיעו להסכמות, </w:t>
      </w:r>
      <w:r w:rsidRPr="005B039F">
        <w:rPr>
          <w:rtl/>
        </w:rPr>
        <w:t xml:space="preserve">ייקבע התיק </w:t>
      </w:r>
      <w:r w:rsidRPr="005B039F">
        <w:rPr>
          <w:rFonts w:hint="cs"/>
          <w:rtl/>
        </w:rPr>
        <w:t>ל</w:t>
      </w:r>
      <w:r w:rsidRPr="005B039F">
        <w:rPr>
          <w:rtl/>
        </w:rPr>
        <w:t>הוכחות</w:t>
      </w:r>
      <w:r w:rsidRPr="005B039F">
        <w:rPr>
          <w:rFonts w:ascii="David" w:hAnsi="David" w:hint="cs"/>
          <w:sz w:val="24"/>
          <w:rtl/>
        </w:rPr>
        <w:t>.</w:t>
      </w:r>
    </w:p>
    <w:p w14:paraId="0C75A33A"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ascii="David" w:hAnsi="David" w:hint="cs"/>
          <w:sz w:val="24"/>
          <w:rtl/>
        </w:rPr>
        <w:t>ביום 18.9.2023 התקבל עדכון מטעם התובעים לפיו הצדדים לא הצליחו להגיע להסכמות, וניתן צו להגשת ראיות.</w:t>
      </w:r>
    </w:p>
    <w:p w14:paraId="1803AEA8"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ascii="David" w:hAnsi="David" w:hint="cs"/>
          <w:sz w:val="24"/>
          <w:rtl/>
        </w:rPr>
        <w:lastRenderedPageBreak/>
        <w:t>ביום 5.11.2023 הוגש תצהירו של התובע 1. לתצהיר צורפה חוות דעתו של ד"ר אברהם בן עזרא (להלן: "</w:t>
      </w:r>
      <w:r w:rsidRPr="005B039F">
        <w:rPr>
          <w:rFonts w:ascii="David" w:hAnsi="David" w:hint="cs"/>
          <w:b/>
          <w:bCs/>
          <w:sz w:val="24"/>
          <w:rtl/>
        </w:rPr>
        <w:t>ד"ר בן עזרא</w:t>
      </w:r>
      <w:r w:rsidRPr="005B039F">
        <w:rPr>
          <w:rFonts w:ascii="David" w:hAnsi="David" w:hint="cs"/>
          <w:sz w:val="24"/>
          <w:rtl/>
        </w:rPr>
        <w:t>"), שהתייחסה לעבודות שביצעו הנתבעים בקשר עם הצבת קו הביוב, וכן חוות דעתו של מר דב דוד (להלן: "</w:t>
      </w:r>
      <w:r w:rsidRPr="005B039F">
        <w:rPr>
          <w:rFonts w:ascii="David" w:hAnsi="David" w:hint="cs"/>
          <w:b/>
          <w:bCs/>
          <w:sz w:val="24"/>
          <w:rtl/>
        </w:rPr>
        <w:t>מר דוד</w:t>
      </w:r>
      <w:r w:rsidRPr="005B039F">
        <w:rPr>
          <w:rFonts w:ascii="David" w:hAnsi="David" w:hint="cs"/>
          <w:sz w:val="24"/>
          <w:rtl/>
        </w:rPr>
        <w:t>"), בקשר עם נזקים שנגרמו לתובעים מעבודות שביצעו הנתבעים בדירתם.</w:t>
      </w:r>
    </w:p>
    <w:p w14:paraId="60501A8D"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ascii="David" w:hAnsi="David" w:hint="cs"/>
          <w:sz w:val="24"/>
          <w:rtl/>
        </w:rPr>
        <w:t xml:space="preserve">ביום 25.1.2024 הוגש תצהירו של הנתבע 1. </w:t>
      </w:r>
    </w:p>
    <w:p w14:paraId="7C1783E9"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hint="cs"/>
          <w:rtl/>
        </w:rPr>
        <w:t>ביום 10.11.2024 הוגשה בקשה מטעם התובעים לזימון נציג תאגיד מי שבע. בהחלטתי מאותו היום קבעתי שהבקשה הוגשה שלא בהתאם להחלטת המפקחת ומשכך דינה להידחות.</w:t>
      </w:r>
    </w:p>
    <w:p w14:paraId="2D2C890B"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bookmarkStart w:id="0" w:name="_Hlk195172453"/>
      <w:r w:rsidRPr="005B039F">
        <w:rPr>
          <w:rFonts w:ascii="David" w:hAnsi="David" w:hint="cs"/>
          <w:sz w:val="24"/>
          <w:rtl/>
        </w:rPr>
        <w:t>ביום 16.12.2024 התקיים דיון הוכחות, במסגרתו העיד מטעם התובעים התובע 1 וד"ר בן עזרא. מטעם הנתבעים העיד הנתבע 1. בתום הדיון הוריתי לצדדים לסכם טענותיהם בכתב.</w:t>
      </w:r>
      <w:bookmarkEnd w:id="0"/>
    </w:p>
    <w:p w14:paraId="2092272A" w14:textId="77777777" w:rsidR="005B039F" w:rsidRPr="005B039F" w:rsidRDefault="005B039F" w:rsidP="00716F71">
      <w:pPr>
        <w:spacing w:before="100" w:beforeAutospacing="1" w:after="240" w:line="360" w:lineRule="auto"/>
        <w:contextualSpacing w:val="0"/>
        <w:jc w:val="both"/>
        <w:outlineLvl w:val="1"/>
        <w:rPr>
          <w:rFonts w:ascii="David" w:hAnsi="David"/>
          <w:b/>
          <w:bCs/>
          <w:sz w:val="24"/>
          <w:u w:val="single"/>
        </w:rPr>
      </w:pPr>
      <w:r w:rsidRPr="005B039F">
        <w:rPr>
          <w:rFonts w:ascii="David" w:hAnsi="David" w:hint="cs"/>
          <w:b/>
          <w:bCs/>
          <w:sz w:val="24"/>
          <w:u w:val="single"/>
          <w:rtl/>
        </w:rPr>
        <w:t>טענות התובעים בסיכומיהם</w:t>
      </w:r>
    </w:p>
    <w:p w14:paraId="21F54AA1"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hint="cs"/>
          <w:rtl/>
        </w:rPr>
        <w:t>בסיכומיהם טענו התובעים ביחס לארבעת הסעדים שהתבקשו, כדלקמן:</w:t>
      </w:r>
    </w:p>
    <w:p w14:paraId="5A3CCA32" w14:textId="77777777" w:rsidR="005B039F" w:rsidRPr="005B039F" w:rsidRDefault="005B039F" w:rsidP="005B039F">
      <w:pPr>
        <w:pStyle w:val="ac"/>
        <w:numPr>
          <w:ilvl w:val="0"/>
          <w:numId w:val="16"/>
        </w:numPr>
        <w:spacing w:before="100" w:beforeAutospacing="1" w:after="240" w:line="360" w:lineRule="auto"/>
        <w:contextualSpacing w:val="0"/>
        <w:jc w:val="both"/>
        <w:rPr>
          <w:rFonts w:ascii="David" w:hAnsi="David"/>
          <w:sz w:val="24"/>
        </w:rPr>
      </w:pPr>
      <w:r w:rsidRPr="005B039F">
        <w:rPr>
          <w:rFonts w:ascii="David" w:hAnsi="David" w:hint="cs"/>
          <w:sz w:val="24"/>
          <w:rtl/>
        </w:rPr>
        <w:t xml:space="preserve">ביחס לקו הביוב </w:t>
      </w:r>
      <w:r w:rsidRPr="005B039F">
        <w:rPr>
          <w:rFonts w:ascii="David" w:hAnsi="David"/>
          <w:sz w:val="24"/>
          <w:rtl/>
        </w:rPr>
        <w:t>–</w:t>
      </w:r>
      <w:r w:rsidRPr="005B039F">
        <w:rPr>
          <w:rFonts w:ascii="David" w:hAnsi="David" w:hint="cs"/>
          <w:sz w:val="24"/>
          <w:rtl/>
        </w:rPr>
        <w:t xml:space="preserve"> נטען שאין מחלוקת שהצבת קו הביוב נעשתה ללא היתר בניה. כן נטען שד"ר בן עזרא הוכיח שהיתר בניה גם לא יכול להינתן, שכן הצבת קו הביוב נעשתה בניגוד לתקנות הרלוונטיות. </w:t>
      </w:r>
    </w:p>
    <w:p w14:paraId="6925B37B" w14:textId="77777777" w:rsidR="005B039F" w:rsidRPr="005B039F" w:rsidRDefault="005B039F" w:rsidP="005B039F">
      <w:pPr>
        <w:pStyle w:val="ac"/>
        <w:numPr>
          <w:ilvl w:val="0"/>
          <w:numId w:val="16"/>
        </w:numPr>
        <w:spacing w:before="100" w:beforeAutospacing="1" w:after="240" w:line="360" w:lineRule="auto"/>
        <w:contextualSpacing w:val="0"/>
        <w:jc w:val="both"/>
        <w:rPr>
          <w:rFonts w:ascii="David" w:hAnsi="David"/>
          <w:sz w:val="24"/>
        </w:rPr>
      </w:pPr>
      <w:r w:rsidRPr="005B039F">
        <w:rPr>
          <w:rFonts w:ascii="David" w:hAnsi="David" w:hint="cs"/>
          <w:sz w:val="24"/>
          <w:rtl/>
        </w:rPr>
        <w:t xml:space="preserve">ביחס להחזרת מפלס שביל הגישה לקדמותו </w:t>
      </w:r>
      <w:r w:rsidRPr="005B039F">
        <w:rPr>
          <w:rFonts w:ascii="David" w:hAnsi="David"/>
          <w:sz w:val="24"/>
          <w:rtl/>
        </w:rPr>
        <w:t>–</w:t>
      </w:r>
      <w:r w:rsidRPr="005B039F">
        <w:rPr>
          <w:rFonts w:ascii="David" w:hAnsi="David" w:hint="cs"/>
          <w:sz w:val="24"/>
          <w:rtl/>
        </w:rPr>
        <w:t xml:space="preserve"> נטען כי לא ניתנה הסכמה לכך והדבר נעשה ללא היתר. כמו כן, התובעים ביקשו להורות לנתבעים לסלול באספלט את השביל שיוקם, בטענה שכך היה בעבר.</w:t>
      </w:r>
    </w:p>
    <w:p w14:paraId="66637549" w14:textId="77777777" w:rsidR="005B039F" w:rsidRPr="005B039F" w:rsidRDefault="005B039F" w:rsidP="005B039F">
      <w:pPr>
        <w:pStyle w:val="ac"/>
        <w:numPr>
          <w:ilvl w:val="0"/>
          <w:numId w:val="16"/>
        </w:numPr>
        <w:spacing w:before="100" w:beforeAutospacing="1" w:after="240" w:line="360" w:lineRule="auto"/>
        <w:contextualSpacing w:val="0"/>
        <w:jc w:val="both"/>
        <w:rPr>
          <w:rFonts w:ascii="David" w:hAnsi="David"/>
          <w:sz w:val="24"/>
        </w:rPr>
      </w:pPr>
      <w:r w:rsidRPr="005B039F">
        <w:rPr>
          <w:rFonts w:ascii="David" w:hAnsi="David" w:hint="cs"/>
          <w:sz w:val="24"/>
          <w:rtl/>
        </w:rPr>
        <w:t xml:space="preserve">ביחס להתקנת גשמות ומרזבים </w:t>
      </w:r>
      <w:r w:rsidRPr="005B039F">
        <w:rPr>
          <w:rFonts w:ascii="David" w:hAnsi="David"/>
          <w:sz w:val="24"/>
          <w:rtl/>
        </w:rPr>
        <w:t>–</w:t>
      </w:r>
      <w:r w:rsidRPr="005B039F">
        <w:rPr>
          <w:rFonts w:ascii="David" w:hAnsi="David" w:hint="cs"/>
          <w:sz w:val="24"/>
          <w:rtl/>
        </w:rPr>
        <w:t xml:space="preserve"> נטען שהדבר מתחייב מהתקנות הרלוונטיות, כפי שעולה מפרשנות ד"ר בן עזרא ומחוות הדעת של מר דוד. </w:t>
      </w:r>
    </w:p>
    <w:p w14:paraId="1097582D" w14:textId="77777777" w:rsidR="005B039F" w:rsidRPr="005B039F" w:rsidRDefault="005B039F" w:rsidP="005B039F">
      <w:pPr>
        <w:pStyle w:val="ac"/>
        <w:numPr>
          <w:ilvl w:val="0"/>
          <w:numId w:val="16"/>
        </w:numPr>
        <w:spacing w:before="100" w:beforeAutospacing="1" w:after="240" w:line="360" w:lineRule="auto"/>
        <w:contextualSpacing w:val="0"/>
        <w:jc w:val="both"/>
        <w:rPr>
          <w:rFonts w:ascii="David" w:hAnsi="David"/>
          <w:sz w:val="24"/>
        </w:rPr>
      </w:pPr>
      <w:r w:rsidRPr="005B039F">
        <w:rPr>
          <w:rFonts w:ascii="David" w:hAnsi="David" w:hint="cs"/>
          <w:sz w:val="24"/>
          <w:rtl/>
        </w:rPr>
        <w:t xml:space="preserve">ביחס להתקנת צינור שרשורי </w:t>
      </w:r>
      <w:r w:rsidRPr="005B039F">
        <w:rPr>
          <w:rFonts w:ascii="David" w:hAnsi="David"/>
          <w:sz w:val="24"/>
          <w:rtl/>
        </w:rPr>
        <w:t>–</w:t>
      </w:r>
      <w:r w:rsidRPr="005B039F">
        <w:rPr>
          <w:rFonts w:ascii="David" w:hAnsi="David" w:hint="cs"/>
          <w:sz w:val="24"/>
          <w:rtl/>
        </w:rPr>
        <w:t xml:space="preserve"> נטען שהדבר מתחייב מהוראות התקן הישראלי הרלוונטי.</w:t>
      </w:r>
    </w:p>
    <w:p w14:paraId="191E63FB"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ascii="David" w:hAnsi="David" w:hint="cs"/>
          <w:sz w:val="24"/>
          <w:rtl/>
        </w:rPr>
        <w:t>אציין כי באופן מפתיע סיכומי הנתבעים אינם מפנים להוראת דין כלשהי, אשר מקימה להם את הזכות לקבל את הסעד המבוקש. במקום זאת התובעים הסתפקו בהוראות דין אשר קובעות, לטענתם, שהעבודות שביצעו הנתבעים הן עבודות אסורות לפי דינים שונים.</w:t>
      </w:r>
    </w:p>
    <w:p w14:paraId="2EF245F9" w14:textId="77777777" w:rsidR="00BF7343" w:rsidRDefault="00BF7343" w:rsidP="005B039F">
      <w:pPr>
        <w:spacing w:before="100" w:beforeAutospacing="1" w:after="240" w:line="360" w:lineRule="auto"/>
        <w:contextualSpacing w:val="0"/>
        <w:jc w:val="both"/>
        <w:rPr>
          <w:rFonts w:ascii="David" w:hAnsi="David"/>
          <w:b/>
          <w:bCs/>
          <w:sz w:val="24"/>
          <w:u w:val="single"/>
          <w:rtl/>
        </w:rPr>
      </w:pPr>
    </w:p>
    <w:p w14:paraId="3DEE5F69" w14:textId="75007E18" w:rsidR="005B039F" w:rsidRPr="005B039F" w:rsidRDefault="005B039F" w:rsidP="00716F71">
      <w:pPr>
        <w:spacing w:before="100" w:beforeAutospacing="1" w:after="240" w:line="360" w:lineRule="auto"/>
        <w:contextualSpacing w:val="0"/>
        <w:jc w:val="both"/>
        <w:outlineLvl w:val="1"/>
        <w:rPr>
          <w:rFonts w:ascii="David" w:hAnsi="David"/>
          <w:b/>
          <w:bCs/>
          <w:sz w:val="24"/>
          <w:u w:val="single"/>
        </w:rPr>
      </w:pPr>
      <w:r w:rsidRPr="005B039F">
        <w:rPr>
          <w:rFonts w:ascii="David" w:hAnsi="David" w:hint="cs"/>
          <w:b/>
          <w:bCs/>
          <w:sz w:val="24"/>
          <w:u w:val="single"/>
          <w:rtl/>
        </w:rPr>
        <w:lastRenderedPageBreak/>
        <w:t>טענות הנתבעים בסיכומיהם</w:t>
      </w:r>
    </w:p>
    <w:p w14:paraId="7CCF2711"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ascii="David" w:hAnsi="David" w:hint="cs"/>
          <w:sz w:val="24"/>
          <w:rtl/>
        </w:rPr>
        <w:t>הנתבעים בסיכומיהם התייחסו גם הם לסעדים המבוקשים, כדלקמן:</w:t>
      </w:r>
    </w:p>
    <w:p w14:paraId="321AB4E8" w14:textId="77777777" w:rsidR="005B039F" w:rsidRPr="005B039F" w:rsidRDefault="005B039F" w:rsidP="005B039F">
      <w:pPr>
        <w:pStyle w:val="ac"/>
        <w:numPr>
          <w:ilvl w:val="0"/>
          <w:numId w:val="16"/>
        </w:numPr>
        <w:spacing w:before="100" w:beforeAutospacing="1" w:after="240" w:line="360" w:lineRule="auto"/>
        <w:contextualSpacing w:val="0"/>
        <w:jc w:val="both"/>
        <w:rPr>
          <w:rFonts w:ascii="David" w:hAnsi="David"/>
          <w:sz w:val="24"/>
        </w:rPr>
      </w:pPr>
      <w:r w:rsidRPr="005B039F">
        <w:rPr>
          <w:rFonts w:ascii="David" w:hAnsi="David" w:hint="cs"/>
          <w:sz w:val="24"/>
          <w:rtl/>
        </w:rPr>
        <w:t xml:space="preserve">ביחס לקו הביוב </w:t>
      </w:r>
      <w:r w:rsidRPr="005B039F">
        <w:rPr>
          <w:rFonts w:ascii="David" w:hAnsi="David"/>
          <w:sz w:val="24"/>
          <w:rtl/>
        </w:rPr>
        <w:t>–</w:t>
      </w:r>
      <w:r w:rsidRPr="005B039F">
        <w:rPr>
          <w:rFonts w:ascii="David" w:hAnsi="David" w:hint="cs"/>
          <w:sz w:val="24"/>
          <w:rtl/>
        </w:rPr>
        <w:t xml:space="preserve"> נטען שקו הביוב אושר על-ידי תאגיד המים העירוני ורשויות התכנון. כן נטען שהנתבע עצמו העיד בחקירתו שגם הביוב של דירת התובעים הוצב שלא בהיתר.</w:t>
      </w:r>
    </w:p>
    <w:p w14:paraId="459AFA54" w14:textId="77777777" w:rsidR="005B039F" w:rsidRPr="005B039F" w:rsidRDefault="005B039F" w:rsidP="005B039F">
      <w:pPr>
        <w:pStyle w:val="ac"/>
        <w:numPr>
          <w:ilvl w:val="0"/>
          <w:numId w:val="16"/>
        </w:numPr>
        <w:spacing w:before="100" w:beforeAutospacing="1" w:after="240" w:line="360" w:lineRule="auto"/>
        <w:contextualSpacing w:val="0"/>
        <w:jc w:val="both"/>
        <w:rPr>
          <w:rFonts w:ascii="David" w:hAnsi="David"/>
          <w:sz w:val="24"/>
        </w:rPr>
      </w:pPr>
      <w:r w:rsidRPr="005B039F">
        <w:rPr>
          <w:rFonts w:ascii="David" w:hAnsi="David" w:hint="cs"/>
          <w:sz w:val="24"/>
          <w:rtl/>
        </w:rPr>
        <w:t xml:space="preserve">ביחס להחזרת מפלס שביל הגישה לקדמותו </w:t>
      </w:r>
      <w:r w:rsidRPr="005B039F">
        <w:rPr>
          <w:rFonts w:ascii="David" w:hAnsi="David"/>
          <w:sz w:val="24"/>
          <w:rtl/>
        </w:rPr>
        <w:t>–</w:t>
      </w:r>
      <w:r w:rsidRPr="005B039F">
        <w:rPr>
          <w:rFonts w:ascii="David" w:hAnsi="David" w:hint="cs"/>
          <w:sz w:val="24"/>
          <w:rtl/>
        </w:rPr>
        <w:t xml:space="preserve"> נטען שהגבהת שביל הגישה אינה יוצרת פגעי רטיבות, ושדווקא השבת המצב לקדמותו יגרום לנזקים. בעניין זה נטען שלא הוכח שהגבהת המפלס גרמה למפגעי רטיבות. לבסוף, נטען שלא הוכח שבעבר שביל הגישה היה מאספלט, ושטענה זו אינה נכונה. </w:t>
      </w:r>
    </w:p>
    <w:p w14:paraId="65823E62" w14:textId="77777777" w:rsidR="005B039F" w:rsidRPr="005B039F" w:rsidRDefault="005B039F" w:rsidP="005B039F">
      <w:pPr>
        <w:pStyle w:val="ac"/>
        <w:numPr>
          <w:ilvl w:val="0"/>
          <w:numId w:val="16"/>
        </w:numPr>
        <w:spacing w:before="100" w:beforeAutospacing="1" w:after="240" w:line="360" w:lineRule="auto"/>
        <w:contextualSpacing w:val="0"/>
        <w:jc w:val="both"/>
        <w:rPr>
          <w:rFonts w:ascii="David" w:hAnsi="David"/>
          <w:sz w:val="24"/>
        </w:rPr>
      </w:pPr>
      <w:r w:rsidRPr="005B039F">
        <w:rPr>
          <w:rFonts w:ascii="David" w:hAnsi="David" w:hint="cs"/>
          <w:sz w:val="24"/>
          <w:rtl/>
        </w:rPr>
        <w:t xml:space="preserve">לעניין הקמת מרזב </w:t>
      </w:r>
      <w:r w:rsidRPr="005B039F">
        <w:rPr>
          <w:rFonts w:ascii="David" w:hAnsi="David"/>
          <w:sz w:val="24"/>
          <w:rtl/>
        </w:rPr>
        <w:t>–</w:t>
      </w:r>
      <w:r w:rsidRPr="005B039F">
        <w:rPr>
          <w:rFonts w:ascii="David" w:hAnsi="David" w:hint="cs"/>
          <w:sz w:val="24"/>
          <w:rtl/>
        </w:rPr>
        <w:t xml:space="preserve"> הנתבעים מתנגדים לכך בטענה שהדין אינו מחייב זאת. כן נטען, שלא הוצגה כל ראיה בעניין זה מלבד עדותו של מר דוד, שלא התייצב לעדות.</w:t>
      </w:r>
    </w:p>
    <w:p w14:paraId="50A01596" w14:textId="77777777" w:rsidR="005B039F" w:rsidRPr="005B039F" w:rsidRDefault="005B039F" w:rsidP="005B039F">
      <w:pPr>
        <w:pStyle w:val="ac"/>
        <w:numPr>
          <w:ilvl w:val="0"/>
          <w:numId w:val="16"/>
        </w:numPr>
        <w:spacing w:before="100" w:beforeAutospacing="1" w:after="240" w:line="360" w:lineRule="auto"/>
        <w:contextualSpacing w:val="0"/>
        <w:jc w:val="both"/>
        <w:rPr>
          <w:rFonts w:ascii="David" w:hAnsi="David"/>
          <w:sz w:val="24"/>
        </w:rPr>
      </w:pPr>
      <w:r w:rsidRPr="005B039F">
        <w:rPr>
          <w:rFonts w:ascii="David" w:hAnsi="David" w:hint="cs"/>
          <w:sz w:val="24"/>
          <w:rtl/>
        </w:rPr>
        <w:t xml:space="preserve">לעניין הצינור השרשורי </w:t>
      </w:r>
      <w:r w:rsidRPr="005B039F">
        <w:rPr>
          <w:rFonts w:ascii="David" w:hAnsi="David"/>
          <w:sz w:val="24"/>
          <w:rtl/>
        </w:rPr>
        <w:t>–</w:t>
      </w:r>
      <w:r w:rsidRPr="005B039F">
        <w:rPr>
          <w:rFonts w:ascii="David" w:hAnsi="David" w:hint="cs"/>
          <w:sz w:val="24"/>
          <w:rtl/>
        </w:rPr>
        <w:t xml:space="preserve"> נטען כי נכון להיום הצינור נשפך לאזור גינון, וכי אין בכך כל פסול.</w:t>
      </w:r>
    </w:p>
    <w:p w14:paraId="2868E91F"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ascii="David" w:hAnsi="David" w:hint="cs"/>
          <w:sz w:val="24"/>
          <w:rtl/>
        </w:rPr>
        <w:t>הצדדים נחלקו ביניהם בנוגע לתוקפם של תקנים ישראליים שונים. כפי שיתואר להלן, בהתאם למסקנותיי שתוצגנה מייד, לא ראיתי לנכון להידרש לנושא זה ועל כן לא ראיתי גם להציגו במסגרת סקירת טענות הצדדים.</w:t>
      </w:r>
    </w:p>
    <w:p w14:paraId="5BC404A1" w14:textId="77777777" w:rsidR="005B039F" w:rsidRPr="005B039F" w:rsidRDefault="005B039F" w:rsidP="005B039F">
      <w:pPr>
        <w:numPr>
          <w:ilvl w:val="0"/>
          <w:numId w:val="15"/>
        </w:numPr>
        <w:spacing w:before="100" w:beforeAutospacing="1" w:after="240" w:line="360" w:lineRule="auto"/>
        <w:contextualSpacing w:val="0"/>
        <w:jc w:val="both"/>
        <w:rPr>
          <w:rFonts w:ascii="David" w:hAnsi="David"/>
          <w:sz w:val="24"/>
        </w:rPr>
      </w:pPr>
      <w:r w:rsidRPr="005B039F">
        <w:rPr>
          <w:rFonts w:ascii="David" w:hAnsi="David" w:hint="cs"/>
          <w:sz w:val="24"/>
          <w:rtl/>
        </w:rPr>
        <w:t>יוער כי הצדדים הרחיבו את הדיבור על אישיות הצד השכנגד. מוטב היה אם היו נמנעים מכך. בפרט הנתבעים, שנקטו בלשון שאינה הולמת.</w:t>
      </w:r>
    </w:p>
    <w:p w14:paraId="09F28170" w14:textId="77777777" w:rsidR="005B039F" w:rsidRPr="005B039F" w:rsidRDefault="005B039F" w:rsidP="00716F71">
      <w:pPr>
        <w:spacing w:before="100" w:beforeAutospacing="1" w:after="240" w:line="360" w:lineRule="auto"/>
        <w:contextualSpacing w:val="0"/>
        <w:jc w:val="both"/>
        <w:outlineLvl w:val="1"/>
        <w:rPr>
          <w:rFonts w:ascii="Calibri" w:eastAsia="Calibri" w:hAnsi="Calibri"/>
          <w:b/>
          <w:bCs/>
          <w:sz w:val="24"/>
          <w:u w:val="single"/>
          <w:rtl/>
        </w:rPr>
      </w:pPr>
      <w:r w:rsidRPr="005B039F">
        <w:rPr>
          <w:rFonts w:ascii="Calibri" w:eastAsia="Calibri" w:hAnsi="Calibri"/>
          <w:b/>
          <w:bCs/>
          <w:sz w:val="24"/>
          <w:u w:val="single"/>
          <w:rtl/>
          <w:lang w:val="he-IL"/>
        </w:rPr>
        <w:t>דיון והכרעה</w:t>
      </w:r>
    </w:p>
    <w:p w14:paraId="375C5D36"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sz w:val="24"/>
          <w:rtl/>
        </w:rPr>
        <w:t>לאחר ששקלתי טענות הצדדים ו</w:t>
      </w:r>
      <w:r w:rsidRPr="005B039F">
        <w:rPr>
          <w:rFonts w:eastAsia="Calibri" w:hint="cs"/>
          <w:sz w:val="24"/>
          <w:rtl/>
        </w:rPr>
        <w:t xml:space="preserve">כן </w:t>
      </w:r>
      <w:r w:rsidRPr="005B039F">
        <w:rPr>
          <w:rFonts w:eastAsia="Calibri"/>
          <w:sz w:val="24"/>
          <w:rtl/>
        </w:rPr>
        <w:t xml:space="preserve">בחנתי </w:t>
      </w:r>
      <w:r w:rsidRPr="005B039F">
        <w:rPr>
          <w:rFonts w:eastAsia="Calibri" w:hint="cs"/>
          <w:sz w:val="24"/>
          <w:rtl/>
        </w:rPr>
        <w:t xml:space="preserve">את </w:t>
      </w:r>
      <w:r w:rsidRPr="005B039F">
        <w:rPr>
          <w:rFonts w:eastAsia="Calibri"/>
          <w:sz w:val="24"/>
          <w:rtl/>
        </w:rPr>
        <w:t xml:space="preserve">מלוא הראיות שהובאו בפניי, מצאתי כי דין התביעה </w:t>
      </w:r>
      <w:r w:rsidRPr="005B039F">
        <w:rPr>
          <w:rFonts w:eastAsia="Calibri" w:hint="cs"/>
          <w:sz w:val="24"/>
          <w:rtl/>
        </w:rPr>
        <w:t>להידחות בעיקרה, למעט בנוגע להשבת שביל הגישה למצבו בטרם ביצוע העבודות על-ידי הנתבעים.</w:t>
      </w:r>
    </w:p>
    <w:p w14:paraId="6D70AAF2" w14:textId="77777777" w:rsidR="005B039F" w:rsidRPr="005B039F" w:rsidRDefault="005B039F" w:rsidP="00716F71">
      <w:pPr>
        <w:spacing w:after="120" w:line="360" w:lineRule="auto"/>
        <w:contextualSpacing w:val="0"/>
        <w:jc w:val="both"/>
        <w:outlineLvl w:val="1"/>
        <w:rPr>
          <w:rFonts w:eastAsia="Calibri"/>
          <w:b/>
          <w:bCs/>
          <w:sz w:val="24"/>
          <w:u w:val="single"/>
        </w:rPr>
      </w:pPr>
      <w:r w:rsidRPr="005B039F">
        <w:rPr>
          <w:rFonts w:eastAsia="Calibri" w:hint="cs"/>
          <w:b/>
          <w:bCs/>
          <w:sz w:val="24"/>
          <w:u w:val="single"/>
          <w:rtl/>
        </w:rPr>
        <w:t xml:space="preserve">מבוא </w:t>
      </w:r>
      <w:r w:rsidRPr="005B039F">
        <w:rPr>
          <w:rFonts w:eastAsia="Calibri"/>
          <w:b/>
          <w:bCs/>
          <w:sz w:val="24"/>
          <w:u w:val="single"/>
          <w:rtl/>
        </w:rPr>
        <w:t>–</w:t>
      </w:r>
      <w:r w:rsidRPr="005B039F">
        <w:rPr>
          <w:rFonts w:eastAsia="Calibri" w:hint="cs"/>
          <w:b/>
          <w:bCs/>
          <w:sz w:val="24"/>
          <w:u w:val="single"/>
          <w:rtl/>
        </w:rPr>
        <w:t xml:space="preserve"> סמכותו העניינית של המפקח על רישום מקרקעין</w:t>
      </w:r>
    </w:p>
    <w:p w14:paraId="165AE6F3" w14:textId="77777777" w:rsidR="005B039F" w:rsidRPr="005B039F" w:rsidRDefault="005B039F" w:rsidP="005B039F">
      <w:pPr>
        <w:pStyle w:val="ac"/>
        <w:numPr>
          <w:ilvl w:val="0"/>
          <w:numId w:val="15"/>
        </w:numPr>
        <w:spacing w:before="100" w:beforeAutospacing="1" w:after="240" w:line="360" w:lineRule="auto"/>
        <w:contextualSpacing w:val="0"/>
        <w:jc w:val="both"/>
        <w:rPr>
          <w:sz w:val="24"/>
        </w:rPr>
      </w:pPr>
      <w:r w:rsidRPr="005B039F">
        <w:rPr>
          <w:rFonts w:hint="cs"/>
          <w:sz w:val="24"/>
          <w:rtl/>
        </w:rPr>
        <w:t>סמכותו השיפוטית של המפקח על רישום מקרקעין נקבעה בסעיף 72 לחוק המקרקעין, התשכ"ט-1969 (להלן: "</w:t>
      </w:r>
      <w:r w:rsidRPr="005B039F">
        <w:rPr>
          <w:rFonts w:hint="cs"/>
          <w:b/>
          <w:bCs/>
          <w:sz w:val="24"/>
          <w:rtl/>
        </w:rPr>
        <w:t>חוק המקרקעין</w:t>
      </w:r>
      <w:r w:rsidRPr="005B039F">
        <w:rPr>
          <w:rFonts w:hint="cs"/>
          <w:sz w:val="24"/>
          <w:rtl/>
        </w:rPr>
        <w:t>"), אשר קובע כדלקמן:</w:t>
      </w:r>
    </w:p>
    <w:p w14:paraId="385AB472" w14:textId="77777777" w:rsidR="005B039F" w:rsidRPr="005B039F" w:rsidRDefault="005B039F" w:rsidP="005B039F">
      <w:pPr>
        <w:pStyle w:val="ae"/>
        <w:spacing w:before="100" w:beforeAutospacing="1" w:after="240" w:line="360" w:lineRule="auto"/>
        <w:ind w:left="862" w:right="862"/>
        <w:contextualSpacing w:val="0"/>
        <w:jc w:val="both"/>
        <w:rPr>
          <w:i w:val="0"/>
          <w:iCs w:val="0"/>
          <w:color w:val="auto"/>
        </w:rPr>
      </w:pPr>
      <w:r w:rsidRPr="005B039F">
        <w:rPr>
          <w:rFonts w:hint="cs"/>
          <w:i w:val="0"/>
          <w:iCs w:val="0"/>
          <w:color w:val="auto"/>
          <w:rtl/>
        </w:rPr>
        <w:lastRenderedPageBreak/>
        <w:t>(א) "</w:t>
      </w:r>
      <w:r w:rsidRPr="005B039F">
        <w:rPr>
          <w:i w:val="0"/>
          <w:iCs w:val="0"/>
          <w:color w:val="auto"/>
          <w:rtl/>
        </w:rPr>
        <w:t xml:space="preserve">סכסוך בין בעלי דירות בבית משותף בדבר זכויותיהם או חובותיהם לפי התקנון </w:t>
      </w:r>
      <w:r w:rsidRPr="005B039F">
        <w:rPr>
          <w:rFonts w:hint="cs"/>
          <w:i w:val="0"/>
          <w:iCs w:val="0"/>
          <w:color w:val="auto"/>
          <w:rtl/>
        </w:rPr>
        <w:t xml:space="preserve">[...] </w:t>
      </w:r>
      <w:r w:rsidRPr="005B039F">
        <w:rPr>
          <w:i w:val="0"/>
          <w:iCs w:val="0"/>
          <w:color w:val="auto"/>
          <w:rtl/>
        </w:rPr>
        <w:t>יכריע בו המפקח.</w:t>
      </w:r>
    </w:p>
    <w:p w14:paraId="0AC94DC9" w14:textId="77777777" w:rsidR="005B039F" w:rsidRPr="005B039F" w:rsidRDefault="005B039F" w:rsidP="005B039F">
      <w:pPr>
        <w:pStyle w:val="ae"/>
        <w:spacing w:before="100" w:beforeAutospacing="1" w:after="240" w:line="360" w:lineRule="auto"/>
        <w:ind w:left="862" w:right="862"/>
        <w:contextualSpacing w:val="0"/>
        <w:jc w:val="both"/>
        <w:rPr>
          <w:i w:val="0"/>
          <w:iCs w:val="0"/>
          <w:color w:val="auto"/>
        </w:rPr>
      </w:pPr>
      <w:r w:rsidRPr="005B039F">
        <w:rPr>
          <w:i w:val="0"/>
          <w:iCs w:val="0"/>
          <w:color w:val="auto"/>
          <w:rtl/>
        </w:rPr>
        <w:t>(ב)</w:t>
      </w:r>
      <w:r w:rsidRPr="005B039F">
        <w:rPr>
          <w:rFonts w:hint="cs"/>
          <w:i w:val="0"/>
          <w:iCs w:val="0"/>
          <w:color w:val="auto"/>
          <w:rtl/>
        </w:rPr>
        <w:t xml:space="preserve"> </w:t>
      </w:r>
      <w:r w:rsidRPr="005B039F">
        <w:rPr>
          <w:i w:val="0"/>
          <w:iCs w:val="0"/>
          <w:color w:val="auto"/>
          <w:rtl/>
        </w:rPr>
        <w:t>סכסוך בין בעלי דירות בבית משותף בדבר הסגת גבול מצד בעל דירה לגבי דירה אחרת או לגבי הרכוש המשותף, רשאי התובע להביאו, לפי בחירתו, לפני בית משפט מוסמך או לפני המפקח.</w:t>
      </w:r>
      <w:r w:rsidRPr="005B039F">
        <w:rPr>
          <w:rFonts w:hint="cs"/>
          <w:i w:val="0"/>
          <w:iCs w:val="0"/>
          <w:color w:val="auto"/>
          <w:rtl/>
        </w:rPr>
        <w:t>"</w:t>
      </w:r>
    </w:p>
    <w:p w14:paraId="67B9DFB9" w14:textId="77777777" w:rsidR="005B039F" w:rsidRPr="005B039F" w:rsidRDefault="005B039F" w:rsidP="005B039F">
      <w:pPr>
        <w:pStyle w:val="ac"/>
        <w:numPr>
          <w:ilvl w:val="0"/>
          <w:numId w:val="15"/>
        </w:numPr>
        <w:spacing w:before="100" w:beforeAutospacing="1" w:after="240" w:line="360" w:lineRule="auto"/>
        <w:contextualSpacing w:val="0"/>
        <w:jc w:val="both"/>
        <w:rPr>
          <w:sz w:val="24"/>
        </w:rPr>
      </w:pPr>
      <w:r w:rsidRPr="005B039F">
        <w:rPr>
          <w:rFonts w:hint="cs"/>
          <w:sz w:val="24"/>
          <w:rtl/>
        </w:rPr>
        <w:t xml:space="preserve">כפי שצוין, התובעים נמנעו מלהציג בסיכומיהם הוראות דין שתומכות בסעד שמבוקש על-ידם, והסתפקו בהוראות דין שקובעות שהתובעים ביצעו עבודות בניגוד לדין, בהתאם להבנת התובעים את הדין. אלא, שלא די בכך שתובע יוכיח שעבודה שביצע בעל דירה נעשתה בניגוד לדין, על-מנת לקבל סעד בהליך שמתנהל לפני המפקח על רישום מקרקעין. עליו להוכיח, שקמה לו עילה בהתאם לאחת העילות שמנויות בסעיף 72 לחוק המקרקעין. </w:t>
      </w:r>
    </w:p>
    <w:p w14:paraId="60C8B5E4" w14:textId="77777777" w:rsidR="005B039F" w:rsidRPr="005B039F" w:rsidRDefault="005B039F" w:rsidP="005B039F">
      <w:pPr>
        <w:pStyle w:val="ac"/>
        <w:numPr>
          <w:ilvl w:val="0"/>
          <w:numId w:val="15"/>
        </w:numPr>
        <w:spacing w:before="100" w:beforeAutospacing="1" w:after="240" w:line="360" w:lineRule="auto"/>
        <w:contextualSpacing w:val="0"/>
        <w:jc w:val="both"/>
        <w:rPr>
          <w:sz w:val="24"/>
        </w:rPr>
      </w:pPr>
      <w:r w:rsidRPr="005B039F">
        <w:rPr>
          <w:rFonts w:hint="cs"/>
          <w:sz w:val="24"/>
          <w:rtl/>
        </w:rPr>
        <w:t xml:space="preserve">כפי שיובהר להלן, התובעים לא הוכיחו שעומדת להם עילה שמזכה אותם בסעד בגדרי סמכות המפקח, למעט לגבי רכיב אחד בתביעתם. לאור האמור, יש לקבוע שדין התביעה ביחס לכל שאר הרכיבים להידחות. למען הסר ספק יובהר שאין בכך כדי להוות הסכמה כל שהיא לביצוע עבודות בניגוד לכל דין. </w:t>
      </w:r>
    </w:p>
    <w:p w14:paraId="0EF6C512" w14:textId="77777777" w:rsidR="005B039F" w:rsidRPr="005B039F" w:rsidRDefault="005B039F" w:rsidP="005B039F">
      <w:pPr>
        <w:pStyle w:val="ac"/>
        <w:numPr>
          <w:ilvl w:val="0"/>
          <w:numId w:val="15"/>
        </w:numPr>
        <w:spacing w:before="100" w:beforeAutospacing="1" w:after="240" w:line="360" w:lineRule="auto"/>
        <w:contextualSpacing w:val="0"/>
        <w:jc w:val="both"/>
        <w:rPr>
          <w:sz w:val="24"/>
        </w:rPr>
      </w:pPr>
      <w:r w:rsidRPr="005B039F">
        <w:rPr>
          <w:rFonts w:hint="cs"/>
          <w:sz w:val="24"/>
          <w:rtl/>
        </w:rPr>
        <w:t>בכל הנוגע לביצוע עבודות על-ידי בעל דירה ישנן שלוש הוראות דין שרלוונטיות לענייננו:</w:t>
      </w:r>
    </w:p>
    <w:p w14:paraId="2BF303D4" w14:textId="77777777" w:rsidR="005B039F" w:rsidRPr="005B039F" w:rsidRDefault="005B039F" w:rsidP="005B039F">
      <w:pPr>
        <w:pStyle w:val="ac"/>
        <w:numPr>
          <w:ilvl w:val="0"/>
          <w:numId w:val="16"/>
        </w:numPr>
        <w:spacing w:before="100" w:beforeAutospacing="1" w:after="240" w:line="360" w:lineRule="auto"/>
        <w:contextualSpacing w:val="0"/>
        <w:jc w:val="both"/>
        <w:rPr>
          <w:sz w:val="24"/>
        </w:rPr>
      </w:pPr>
      <w:r w:rsidRPr="005B039F">
        <w:rPr>
          <w:rFonts w:hint="cs"/>
          <w:sz w:val="24"/>
          <w:rtl/>
        </w:rPr>
        <w:t>לבעל דירה מותר לעשות שימוש "רגיל וסביר" ברכוש המשותף (</w:t>
      </w:r>
      <w:r w:rsidRPr="005B039F">
        <w:rPr>
          <w:sz w:val="24"/>
          <w:rtl/>
        </w:rPr>
        <w:t xml:space="preserve">ע"א 549/73 </w:t>
      </w:r>
      <w:r w:rsidRPr="005B039F">
        <w:rPr>
          <w:b/>
          <w:bCs/>
          <w:sz w:val="24"/>
          <w:rtl/>
        </w:rPr>
        <w:t>וינטרס נ' זמורה</w:t>
      </w:r>
      <w:r w:rsidRPr="005B039F">
        <w:rPr>
          <w:sz w:val="24"/>
          <w:rtl/>
        </w:rPr>
        <w:t xml:space="preserve">, </w:t>
      </w:r>
      <w:r w:rsidRPr="005B039F">
        <w:rPr>
          <w:rFonts w:hint="cs"/>
          <w:sz w:val="24"/>
          <w:rtl/>
        </w:rPr>
        <w:t xml:space="preserve">פ"ד </w:t>
      </w:r>
      <w:r w:rsidRPr="005B039F">
        <w:rPr>
          <w:sz w:val="24"/>
          <w:rtl/>
        </w:rPr>
        <w:t>כח(1) 645</w:t>
      </w:r>
      <w:r w:rsidRPr="005B039F">
        <w:rPr>
          <w:rFonts w:hint="cs"/>
          <w:sz w:val="24"/>
          <w:rtl/>
        </w:rPr>
        <w:t xml:space="preserve"> (1974) (להלן: "</w:t>
      </w:r>
      <w:r w:rsidRPr="005B039F">
        <w:rPr>
          <w:rFonts w:hint="cs"/>
          <w:b/>
          <w:bCs/>
          <w:sz w:val="24"/>
          <w:rtl/>
        </w:rPr>
        <w:t>עניין וינטרס</w:t>
      </w:r>
      <w:r w:rsidRPr="005B039F">
        <w:rPr>
          <w:rFonts w:hint="cs"/>
          <w:sz w:val="24"/>
          <w:rtl/>
        </w:rPr>
        <w:t xml:space="preserve">")) </w:t>
      </w:r>
      <w:r w:rsidRPr="005B039F">
        <w:rPr>
          <w:sz w:val="24"/>
          <w:rtl/>
        </w:rPr>
        <w:t>–</w:t>
      </w:r>
      <w:r w:rsidRPr="005B039F">
        <w:rPr>
          <w:rFonts w:hint="cs"/>
          <w:sz w:val="24"/>
          <w:rtl/>
        </w:rPr>
        <w:t xml:space="preserve"> כלומר, ככל שהעבודות שביצעו הנתבעים ברכוש המשותף אינן שימוש "רגיל וסביר" ניתן להורות על סילוק ידם מהרכוש המשותף.</w:t>
      </w:r>
    </w:p>
    <w:p w14:paraId="24E6B003" w14:textId="77777777" w:rsidR="005B039F" w:rsidRPr="005B039F" w:rsidRDefault="005B039F" w:rsidP="005B039F">
      <w:pPr>
        <w:pStyle w:val="ac"/>
        <w:numPr>
          <w:ilvl w:val="0"/>
          <w:numId w:val="16"/>
        </w:numPr>
        <w:spacing w:before="100" w:beforeAutospacing="1" w:after="240" w:line="360" w:lineRule="auto"/>
        <w:contextualSpacing w:val="0"/>
        <w:jc w:val="both"/>
        <w:rPr>
          <w:sz w:val="24"/>
        </w:rPr>
      </w:pPr>
      <w:r w:rsidRPr="005B039F">
        <w:rPr>
          <w:rFonts w:hint="cs"/>
          <w:sz w:val="24"/>
          <w:rtl/>
        </w:rPr>
        <w:t>סעיף 2(א) לתקנון המצוי שבתוספת לחוק המקרקעין, התשכ"ט-1969 (להלן: "</w:t>
      </w:r>
      <w:r w:rsidRPr="005B039F">
        <w:rPr>
          <w:rFonts w:hint="cs"/>
          <w:b/>
          <w:bCs/>
          <w:sz w:val="24"/>
          <w:rtl/>
        </w:rPr>
        <w:t>התקנון המצוי</w:t>
      </w:r>
      <w:r w:rsidRPr="005B039F">
        <w:rPr>
          <w:rFonts w:hint="cs"/>
          <w:sz w:val="24"/>
          <w:rtl/>
        </w:rPr>
        <w:t>") שקובע כי: "</w:t>
      </w:r>
      <w:r w:rsidRPr="005B039F">
        <w:rPr>
          <w:sz w:val="24"/>
          <w:rtl/>
        </w:rPr>
        <w:t>בעל דירה אינו רשאי לעשות בדירתו שינויים או תיקונים הפוגעים ברכוש המשותף או מסכנים או עשויים לסכן את קיומו או משנים או עשויים לשנות את ערכו, אלא אם קיבל תחילה הסכמת האסיפה הכללית של בעלי הדירות; לענין זה</w:t>
      </w:r>
      <w:r w:rsidRPr="005B039F">
        <w:rPr>
          <w:rFonts w:hint="cs"/>
          <w:sz w:val="24"/>
          <w:rtl/>
        </w:rPr>
        <w:t xml:space="preserve"> "</w:t>
      </w:r>
      <w:r w:rsidRPr="005B039F">
        <w:rPr>
          <w:sz w:val="24"/>
          <w:rtl/>
        </w:rPr>
        <w:t>פגיעה ברכוש המשותף</w:t>
      </w:r>
      <w:r w:rsidRPr="005B039F">
        <w:rPr>
          <w:rFonts w:hint="cs"/>
          <w:sz w:val="24"/>
          <w:rtl/>
        </w:rPr>
        <w:t>"</w:t>
      </w:r>
      <w:r w:rsidRPr="005B039F">
        <w:rPr>
          <w:b/>
          <w:bCs/>
          <w:sz w:val="24"/>
        </w:rPr>
        <w:t xml:space="preserve"> – </w:t>
      </w:r>
      <w:r w:rsidRPr="005B039F">
        <w:rPr>
          <w:b/>
          <w:bCs/>
          <w:sz w:val="24"/>
          <w:rtl/>
        </w:rPr>
        <w:t>לרבות פגיעה בחזותו החיצונית התקינה והאחידה כפי שהיתה בעת גמר הבניה</w:t>
      </w:r>
      <w:r w:rsidRPr="005B039F">
        <w:rPr>
          <w:rFonts w:hint="cs"/>
          <w:sz w:val="24"/>
          <w:rtl/>
        </w:rPr>
        <w:t xml:space="preserve">" (ההדגשה הוספה </w:t>
      </w:r>
      <w:r w:rsidRPr="005B039F">
        <w:rPr>
          <w:sz w:val="24"/>
          <w:rtl/>
        </w:rPr>
        <w:t>–</w:t>
      </w:r>
      <w:r w:rsidRPr="005B039F">
        <w:rPr>
          <w:rFonts w:hint="cs"/>
          <w:sz w:val="24"/>
          <w:rtl/>
        </w:rPr>
        <w:t xml:space="preserve"> ב.ל.) </w:t>
      </w:r>
      <w:r w:rsidRPr="005B039F">
        <w:rPr>
          <w:sz w:val="24"/>
          <w:rtl/>
        </w:rPr>
        <w:t>–</w:t>
      </w:r>
      <w:r w:rsidRPr="005B039F">
        <w:rPr>
          <w:rFonts w:hint="cs"/>
          <w:sz w:val="24"/>
          <w:rtl/>
        </w:rPr>
        <w:t xml:space="preserve"> כלומר, ככל שהעבודות שבוצעו על-ידי הנתבעים פוגעות ברכוש המשותף, לרבות פגיעה בחזותו החיצונית של הרכוש המשותף, עליהם לקבל את הסכמת האסיפה הכללית.</w:t>
      </w:r>
    </w:p>
    <w:p w14:paraId="40FB2E51" w14:textId="77777777" w:rsidR="005B039F" w:rsidRPr="005B039F" w:rsidRDefault="005B039F" w:rsidP="005B039F">
      <w:pPr>
        <w:pStyle w:val="ac"/>
        <w:numPr>
          <w:ilvl w:val="0"/>
          <w:numId w:val="16"/>
        </w:numPr>
        <w:spacing w:before="100" w:beforeAutospacing="1" w:after="240" w:line="360" w:lineRule="auto"/>
        <w:contextualSpacing w:val="0"/>
        <w:jc w:val="both"/>
        <w:rPr>
          <w:sz w:val="24"/>
        </w:rPr>
      </w:pPr>
      <w:r w:rsidRPr="005B039F">
        <w:rPr>
          <w:sz w:val="24"/>
          <w:rtl/>
        </w:rPr>
        <w:lastRenderedPageBreak/>
        <w:t xml:space="preserve">סעיף 3(ב) לתקנון המצוי </w:t>
      </w:r>
      <w:r w:rsidRPr="005B039F">
        <w:rPr>
          <w:rFonts w:hint="cs"/>
          <w:sz w:val="24"/>
          <w:rtl/>
        </w:rPr>
        <w:t>ש</w:t>
      </w:r>
      <w:r w:rsidRPr="005B039F">
        <w:rPr>
          <w:sz w:val="24"/>
          <w:rtl/>
        </w:rPr>
        <w:t>קובע כי: "בעל דירה זכאי לדרוש מבעל דירה אחרת שיבצע תיקון בדירה האחרת,</w:t>
      </w:r>
      <w:r w:rsidRPr="005B039F">
        <w:rPr>
          <w:b/>
          <w:bCs/>
          <w:sz w:val="24"/>
          <w:rtl/>
        </w:rPr>
        <w:t xml:space="preserve"> שאי ביצועו עלול לפגוע בדירתו של דורש התיקון</w:t>
      </w:r>
      <w:r w:rsidRPr="005B039F">
        <w:rPr>
          <w:sz w:val="24"/>
          <w:rtl/>
        </w:rPr>
        <w:t>"</w:t>
      </w:r>
      <w:r w:rsidRPr="005B039F">
        <w:rPr>
          <w:rFonts w:hint="cs"/>
          <w:sz w:val="24"/>
          <w:rtl/>
        </w:rPr>
        <w:t xml:space="preserve"> (ההדגשה הוספה </w:t>
      </w:r>
      <w:r w:rsidRPr="005B039F">
        <w:rPr>
          <w:sz w:val="24"/>
          <w:rtl/>
        </w:rPr>
        <w:t>–</w:t>
      </w:r>
      <w:r w:rsidRPr="005B039F">
        <w:rPr>
          <w:rFonts w:hint="cs"/>
          <w:sz w:val="24"/>
          <w:rtl/>
        </w:rPr>
        <w:t xml:space="preserve"> ב.ל.) </w:t>
      </w:r>
      <w:r w:rsidRPr="005B039F">
        <w:rPr>
          <w:sz w:val="24"/>
          <w:rtl/>
        </w:rPr>
        <w:t>–</w:t>
      </w:r>
      <w:r w:rsidRPr="005B039F">
        <w:rPr>
          <w:rFonts w:hint="cs"/>
          <w:sz w:val="24"/>
          <w:rtl/>
        </w:rPr>
        <w:t xml:space="preserve"> כלומר, ככל שדירת הנתבעים עלולה להביא לפגיעה בדירת התובעים, התובעים זכאים לדרוש ביצוע תיקון שימנע את הפגיעה או הסכנה לפגיעה. </w:t>
      </w:r>
    </w:p>
    <w:p w14:paraId="7F2CC159"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זוהי המסגרת המשפטית לדיוננו, ועל מנת שהתובעים יהיו זכאים לסעד בגדרי הליך זה, עליהם להראות כי אחת מהוראות הדין האמורות הופרה באופן שמקנה להם סעד. </w:t>
      </w:r>
    </w:p>
    <w:p w14:paraId="7302710F"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בפרט, העובדה שהנתבעים ביצעו עבודות בניגוד לדין, כשלעצמה, אינה מקימה לתובעים סעד בגדרי הליך זה, בהיעדר הוראה בדין שמקנה להם סעד בעניין זה, ובפרט סעד שבסמכותו של המפקח על רישום מקרקעין. </w:t>
      </w:r>
    </w:p>
    <w:p w14:paraId="3FB844DC"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מכאן לדיון בסעדים המבוקשים. אבחן להלן את הסעדים שהתבקשו, ואראה האם הוכחה זכאותם של התובעים לאותם סעדים.</w:t>
      </w:r>
    </w:p>
    <w:p w14:paraId="1B3681DE" w14:textId="77777777" w:rsidR="005B039F" w:rsidRPr="005B039F" w:rsidRDefault="005B039F" w:rsidP="00716F71">
      <w:pPr>
        <w:spacing w:after="120" w:line="360" w:lineRule="auto"/>
        <w:contextualSpacing w:val="0"/>
        <w:jc w:val="both"/>
        <w:outlineLvl w:val="1"/>
        <w:rPr>
          <w:rFonts w:eastAsia="Calibri"/>
          <w:b/>
          <w:bCs/>
          <w:sz w:val="24"/>
          <w:u w:val="single"/>
        </w:rPr>
      </w:pPr>
      <w:r w:rsidRPr="005B039F">
        <w:rPr>
          <w:rFonts w:eastAsia="Calibri" w:hint="cs"/>
          <w:b/>
          <w:bCs/>
          <w:sz w:val="24"/>
          <w:u w:val="single"/>
          <w:rtl/>
        </w:rPr>
        <w:t>הסרת קו הביוב</w:t>
      </w:r>
    </w:p>
    <w:p w14:paraId="1520E23D"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הנתבע 1 ניסה להציג את קו הביוב שהקים, כאילו ניתנו בעניינם האישורים הנדרשים. לאחר עיון במסמכים השונים יש לקבוע באופן ברור שהצגת הדברים באופן האמור הייתה מסולפת וחוטאת לאמת. לקו הביוב שהציבו הנתבעים ברכוש המשותף אין היתר בניה.</w:t>
      </w:r>
    </w:p>
    <w:p w14:paraId="299407AB"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אלא שכפי שהובהר, שימוש שלא כדין, כשלעצמו, אינו מקים סעד בהליך שמתנהל אצל המפקח על רישום מקרקעין (בניגוד לערכאות תכנוניות, למשל). על התובעים היה להוכיח שהשימוש האסור מקים סעד רלוונטי בהליך זה, דבר שלא נעשה. בעניין זה יובהר, שלא הוכח בדרך כלשהי, לרבות בחוות דעתו של ד"ר בן עזרא, כי הצבת קו הביוב על-ידי הנתבעים גורמת או עלול לגרום לנזק לדירת התובעים.</w:t>
      </w:r>
    </w:p>
    <w:p w14:paraId="2EF6E5DE"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לאחר עיון בטענות הצדדים מצאתי לדחות את התביעה בגין רכיב זה משתי סיבות: (1) לא הוכח שהצבת ביוב ללא היתר מהווה שימוש שאינו סביר ברכוש המשותף; וכן (2) חוסר ניקיון כפיים של התובעים. </w:t>
      </w:r>
    </w:p>
    <w:p w14:paraId="50DD38B5"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אפרט את עמדתי. </w:t>
      </w:r>
    </w:p>
    <w:p w14:paraId="51D56765"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ככלל, בנייה ברכוש המשותף ללא היתר בנייה היא שימוש שאינו סביר ברכוש המשותף. עם זאת, יש לבחון את סבירות השימוש בהתאם לתנאי הזמן והמקום, לרבות השימוש בבית המשותף הקונקרטי (ראו: עניין </w:t>
      </w:r>
      <w:r w:rsidRPr="005B039F">
        <w:rPr>
          <w:rFonts w:eastAsia="Calibri" w:hint="cs"/>
          <w:b/>
          <w:bCs/>
          <w:sz w:val="24"/>
          <w:rtl/>
        </w:rPr>
        <w:t>וינטרס</w:t>
      </w:r>
      <w:r w:rsidRPr="005B039F">
        <w:rPr>
          <w:rFonts w:eastAsia="Calibri" w:hint="cs"/>
          <w:sz w:val="24"/>
          <w:rtl/>
        </w:rPr>
        <w:t xml:space="preserve">, עמ' 648). </w:t>
      </w:r>
    </w:p>
    <w:p w14:paraId="02EC8043"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בענייננו התובע 1 הודה בחקירתו הנגדית שקו הביוב שהוא עצמו הציב ברכוש המשותף הוצב ללא היתר (ראו: עמוד 3 שורות 46-36 לפרוטוקול הדיון מיום 16.12.2024). בנסיבות אלה, בהן </w:t>
      </w:r>
      <w:r w:rsidRPr="005B039F">
        <w:rPr>
          <w:rFonts w:eastAsia="Calibri" w:hint="cs"/>
          <w:sz w:val="24"/>
          <w:rtl/>
        </w:rPr>
        <w:lastRenderedPageBreak/>
        <w:t xml:space="preserve">התובעים עצמם עושים שימוש זהה ברכוש המשותף, לא ניתן לראות בעבודה שביצעו הנתבעים ברכוש המשותף כשימוש לא סביר. </w:t>
      </w:r>
    </w:p>
    <w:p w14:paraId="46013367"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מעבר לכך, יש לדחות את הטענה בשל חוסר ניקיון כפיים של התובעים. </w:t>
      </w:r>
    </w:p>
    <w:p w14:paraId="371DBE94"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כידוע, אדם צריך לגשת לבית המשפט בניקיון כפיים. אין זה מתקבל על הדעת שבעל דירה יפעל ברכוש המשותף באופן מסוים, ויבקש לסלק בעל דירה אחר שפועל ברכוש המשותף באותו אופן. די בכך כדי לדחות את טענות התובעים. </w:t>
      </w:r>
    </w:p>
    <w:p w14:paraId="0B24FB2D"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למען הסר ספק יובהר כי הצבת קו ביוב ללא היתר היא מעשה פסול מכל וכל, ואין בקביעתי שדוחה את הסרת קו הביוב כדי לתמוך בכך. כמו כן, מובן מאליו שאין בהכרעה זו כדי למנוע מניעה כלשהי מרשות מוסמכת מלאכוף על הצדדים את הוראות הדין בנוגע לביצוע עבודות ללא היתר. </w:t>
      </w:r>
    </w:p>
    <w:p w14:paraId="24C4A4CC" w14:textId="77777777" w:rsidR="005B039F" w:rsidRPr="005B039F" w:rsidRDefault="005B039F" w:rsidP="00716F71">
      <w:pPr>
        <w:spacing w:after="120" w:line="360" w:lineRule="auto"/>
        <w:contextualSpacing w:val="0"/>
        <w:jc w:val="both"/>
        <w:outlineLvl w:val="1"/>
        <w:rPr>
          <w:rFonts w:eastAsia="Calibri"/>
          <w:sz w:val="24"/>
        </w:rPr>
      </w:pPr>
      <w:r w:rsidRPr="005B039F">
        <w:rPr>
          <w:rFonts w:eastAsia="Calibri" w:hint="cs"/>
          <w:b/>
          <w:bCs/>
          <w:sz w:val="24"/>
          <w:u w:val="single"/>
          <w:rtl/>
        </w:rPr>
        <w:t>השבת שביל הגישה לגובהו המקורי</w:t>
      </w:r>
      <w:r w:rsidRPr="005B039F">
        <w:rPr>
          <w:rFonts w:eastAsia="Calibri" w:hint="cs"/>
          <w:sz w:val="24"/>
          <w:rtl/>
        </w:rPr>
        <w:t xml:space="preserve"> </w:t>
      </w:r>
    </w:p>
    <w:p w14:paraId="26F2E979"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הנתבעים אינם חולקים על כך שבמסגרת התקנת קו הביוב שמשרת את דירתם הם הגביהו את שביל הגישה ואף "ביטלו" מדרגה של חדר המדרגות המשותף. בכך הביאו לשינוי בחזותו החיצונית התקינה והאחידה של הרכוש המשותף. </w:t>
      </w:r>
    </w:p>
    <w:p w14:paraId="4FF385BF"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בהתאם להוראות סעיף 2(א) לתקנון המצוי, שינוי בחזותו החיצונית של הרכוש המשותף מצריכה קבלת הסכמה מראש של האסיפה הכללית. הנתבעים לא טענו שקיבלו לכך הסכמה, ומשכך אין מחלוקת שהסכמה לא התקבלה. </w:t>
      </w:r>
    </w:p>
    <w:p w14:paraId="4C5ED278"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לפיכך, התביעה בעניין זה מתקבלת. הנתבעים ישיבו את שביל הגישה לגובהו המקורי, וישחזרו את המדרגה שנגרעה מחדר המדרגות בעת ביצוע העבודות על-ידם.</w:t>
      </w:r>
    </w:p>
    <w:p w14:paraId="6CBD1684"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אבקש להעיר שתי הערות בעניין זה.</w:t>
      </w:r>
    </w:p>
    <w:p w14:paraId="2D15A663"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ראשית, הנתבע 1 טען שהגבהת שביל הגישה אושרה על-ידי הרשויות המוסמכות. עיון בטענתו של הנתבע 1 בעניין זה מגלה שהגבהת שביל הגישה לא אושרה על-ידי הרשויות המוסמכות. הנתבע 1 מפנה בעניין זה לציטוטים חלקיים ולא מחייבים ממסמכים שונים, שאינם מלמדים את מה שהוא מבקש ללמוד מהם. </w:t>
      </w:r>
    </w:p>
    <w:p w14:paraId="329CF51D" w14:textId="07CCBDE2"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יתרה מזו. גם לו יתואר שרשויות התכנון אישרו את הגבהת השביל, אין בכך כדי לפטור את הנתבעים מלקבל את אישור האסיפה הכללית לשינוי בחזותו החיצונית של הרכוש המשותף (השוו:</w:t>
      </w:r>
      <w:r w:rsidR="00CB6B96">
        <w:rPr>
          <w:rFonts w:eastAsia="Calibri" w:hint="cs"/>
          <w:sz w:val="24"/>
          <w:rtl/>
        </w:rPr>
        <w:t xml:space="preserve"> </w:t>
      </w:r>
      <w:r w:rsidRPr="005B039F">
        <w:rPr>
          <w:rFonts w:eastAsia="Calibri" w:hint="cs"/>
          <w:sz w:val="24"/>
          <w:rtl/>
        </w:rPr>
        <w:t>רע"א 6339/97</w:t>
      </w:r>
      <w:r w:rsidRPr="005B039F">
        <w:rPr>
          <w:rFonts w:eastAsia="Calibri"/>
          <w:sz w:val="24"/>
        </w:rPr>
        <w:t> </w:t>
      </w:r>
      <w:r w:rsidRPr="005B039F">
        <w:rPr>
          <w:rFonts w:eastAsia="Calibri"/>
          <w:b/>
          <w:bCs/>
          <w:sz w:val="24"/>
          <w:rtl/>
        </w:rPr>
        <w:t>רוקר נ' סלומון</w:t>
      </w:r>
      <w:r w:rsidRPr="005B039F">
        <w:rPr>
          <w:rFonts w:eastAsia="Calibri"/>
          <w:sz w:val="24"/>
          <w:rtl/>
        </w:rPr>
        <w:t>, פ"ד נה(1) 199, פסקה 4 לפסק דינו של כב' השופט </w:t>
      </w:r>
      <w:r w:rsidRPr="005B039F">
        <w:rPr>
          <w:rFonts w:eastAsia="Calibri"/>
          <w:b/>
          <w:bCs/>
          <w:sz w:val="24"/>
          <w:rtl/>
        </w:rPr>
        <w:t>י' אנגלרד</w:t>
      </w:r>
      <w:r w:rsidRPr="005B039F">
        <w:rPr>
          <w:rFonts w:eastAsia="Calibri" w:hint="cs"/>
          <w:sz w:val="24"/>
          <w:rtl/>
        </w:rPr>
        <w:t xml:space="preserve">, </w:t>
      </w:r>
      <w:r w:rsidRPr="005B039F">
        <w:rPr>
          <w:rFonts w:eastAsia="Calibri"/>
          <w:sz w:val="24"/>
          <w:rtl/>
        </w:rPr>
        <w:t>פסקה 2 לפסק דינו של כב' השופט </w:t>
      </w:r>
      <w:r w:rsidRPr="005B039F">
        <w:rPr>
          <w:rFonts w:eastAsia="Calibri"/>
          <w:b/>
          <w:bCs/>
          <w:sz w:val="24"/>
          <w:rtl/>
        </w:rPr>
        <w:t>י' טירקל</w:t>
      </w:r>
      <w:r w:rsidRPr="005B039F">
        <w:rPr>
          <w:rFonts w:eastAsia="Calibri" w:hint="cs"/>
          <w:sz w:val="24"/>
          <w:rtl/>
        </w:rPr>
        <w:t>, ו</w:t>
      </w:r>
      <w:r w:rsidRPr="005B039F">
        <w:rPr>
          <w:rFonts w:eastAsia="Calibri"/>
          <w:sz w:val="24"/>
          <w:rtl/>
        </w:rPr>
        <w:t>כן המבוא לפסק דינו של כב' השופט</w:t>
      </w:r>
      <w:r w:rsidRPr="005B039F">
        <w:rPr>
          <w:rFonts w:eastAsia="Calibri" w:hint="cs"/>
          <w:sz w:val="24"/>
          <w:rtl/>
        </w:rPr>
        <w:t xml:space="preserve"> (</w:t>
      </w:r>
      <w:r w:rsidRPr="005B039F">
        <w:rPr>
          <w:rFonts w:eastAsia="Calibri"/>
          <w:sz w:val="24"/>
          <w:rtl/>
        </w:rPr>
        <w:t>כתוארו אז</w:t>
      </w:r>
      <w:r w:rsidRPr="005B039F">
        <w:rPr>
          <w:rFonts w:eastAsia="Calibri" w:hint="cs"/>
          <w:sz w:val="24"/>
          <w:rtl/>
        </w:rPr>
        <w:t>)</w:t>
      </w:r>
      <w:r w:rsidRPr="005B039F">
        <w:rPr>
          <w:rFonts w:eastAsia="Calibri" w:hint="cs"/>
          <w:b/>
          <w:bCs/>
          <w:sz w:val="24"/>
          <w:rtl/>
        </w:rPr>
        <w:t xml:space="preserve"> </w:t>
      </w:r>
      <w:r w:rsidRPr="005B039F">
        <w:rPr>
          <w:rFonts w:eastAsia="Calibri"/>
          <w:b/>
          <w:bCs/>
          <w:sz w:val="24"/>
          <w:rtl/>
        </w:rPr>
        <w:t>מ' חשין</w:t>
      </w:r>
      <w:r w:rsidRPr="005B039F">
        <w:rPr>
          <w:rFonts w:eastAsia="Calibri" w:hint="cs"/>
          <w:b/>
          <w:bCs/>
          <w:sz w:val="24"/>
          <w:rtl/>
        </w:rPr>
        <w:t xml:space="preserve"> </w:t>
      </w:r>
      <w:r w:rsidRPr="005B039F">
        <w:rPr>
          <w:rFonts w:eastAsia="Calibri" w:hint="cs"/>
          <w:sz w:val="24"/>
          <w:rtl/>
        </w:rPr>
        <w:t xml:space="preserve">(1999); ע"א 10908/09 </w:t>
      </w:r>
      <w:r w:rsidRPr="005B039F">
        <w:rPr>
          <w:rFonts w:eastAsia="Calibri"/>
          <w:b/>
          <w:bCs/>
          <w:sz w:val="24"/>
          <w:rtl/>
        </w:rPr>
        <w:t>סבח נ' יקיר</w:t>
      </w:r>
      <w:r w:rsidRPr="005B039F">
        <w:rPr>
          <w:rFonts w:eastAsia="Calibri"/>
          <w:sz w:val="24"/>
          <w:rtl/>
        </w:rPr>
        <w:t> </w:t>
      </w:r>
      <w:r w:rsidRPr="005B039F">
        <w:rPr>
          <w:rFonts w:eastAsia="Calibri" w:hint="cs"/>
          <w:sz w:val="24"/>
          <w:rtl/>
        </w:rPr>
        <w:t>(24.6.2004)).</w:t>
      </w:r>
    </w:p>
    <w:p w14:paraId="4A742882"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lastRenderedPageBreak/>
        <w:t xml:space="preserve">שנית, הנתבעים עמדו על כך שלא הוכח שהגבהת שביל הגישה גורמת לנזק כלשהו. אכן, טענה זו של הנתבעים לא הוכחה. הטענה נסמכה בחוות דעתו של מר דוד, אשר לא התייצב לעדות, וממילא אין ליתן כל משקל לחוות הדעת (ראו: </w:t>
      </w:r>
      <w:r w:rsidRPr="005B039F">
        <w:rPr>
          <w:rFonts w:eastAsia="Calibri"/>
          <w:sz w:val="24"/>
          <w:rtl/>
        </w:rPr>
        <w:t xml:space="preserve">רע"א 3810/12 </w:t>
      </w:r>
      <w:r w:rsidRPr="005B039F">
        <w:rPr>
          <w:rFonts w:eastAsia="Calibri"/>
          <w:b/>
          <w:bCs/>
          <w:sz w:val="24"/>
          <w:rtl/>
        </w:rPr>
        <w:t>הפניקס הישראלי חברה לביטוח בע"מ נ' עז' המנוח מאיר יחזקאל ז"ל</w:t>
      </w:r>
      <w:r w:rsidRPr="005B039F">
        <w:rPr>
          <w:rFonts w:eastAsia="Calibri" w:hint="cs"/>
          <w:sz w:val="24"/>
          <w:rtl/>
        </w:rPr>
        <w:t>, פסקה 7</w:t>
      </w:r>
      <w:r w:rsidRPr="005B039F">
        <w:rPr>
          <w:rFonts w:eastAsia="Calibri"/>
          <w:sz w:val="24"/>
          <w:rtl/>
        </w:rPr>
        <w:t xml:space="preserve"> (8.7.2012)</w:t>
      </w:r>
      <w:r w:rsidRPr="005B039F">
        <w:rPr>
          <w:rFonts w:eastAsia="Calibri" w:hint="cs"/>
          <w:sz w:val="24"/>
          <w:rtl/>
        </w:rPr>
        <w:t xml:space="preserve">). </w:t>
      </w:r>
    </w:p>
    <w:p w14:paraId="6542EE4C"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על-אף האמור, אין בטענת הנתבעים בעניין זה כדי לדחות את הסעד. הסיבה לקבלת התביעה בעניין זה אינה בשל הנזקים שנטען שנגרמים לדירת התובעים, אלא בשל עצם השינוי בגובה השביל, גם אם הוא אינו גורם לכל נזק (וגם אם הוא בעצמו מסייע, כפי שנטען על-ידי הנתבעים).  </w:t>
      </w:r>
    </w:p>
    <w:p w14:paraId="53BCC91A"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לבסוף, אני ער לכך שייתכן שהמשמעות של השבת גובה השביל לגובהו המקורי היא הסרת קו הביוב של הנתבעים. עם זאת, מובן כי שמירה על קו ביוב שהוצב שלא כדין, אינו מהווה הצדקה לאפשר לנתבעים לשנות את חזותו של הרכוש המשותף ללא אישור מראש של האסיפה הכללית.</w:t>
      </w:r>
    </w:p>
    <w:p w14:paraId="0C7BCF14"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בנוגע לטענה בדבר סלילת אספלט. טענה זו נטענה לראשונה בסיכומי התובעים, ולא הוכח שמלכתחילה היה אספלט על שביל הגישה. לפיכך, הדרישה בעניין זה נדחית. שביל הגישה יוחזר לגובהו המקורי, כפי שעולה מחוות דעתו של ד"ר בן עזרא, כאשר החומר ממנו עשוי השביל יהיה בהתאם למצבו הנוכחי. </w:t>
      </w:r>
    </w:p>
    <w:p w14:paraId="04C3E393" w14:textId="77777777" w:rsidR="005B039F" w:rsidRPr="005B039F" w:rsidRDefault="005B039F" w:rsidP="00716F71">
      <w:pPr>
        <w:spacing w:after="120" w:line="360" w:lineRule="auto"/>
        <w:contextualSpacing w:val="0"/>
        <w:jc w:val="both"/>
        <w:outlineLvl w:val="1"/>
        <w:rPr>
          <w:rFonts w:eastAsia="Calibri"/>
          <w:b/>
          <w:bCs/>
          <w:sz w:val="24"/>
          <w:u w:val="single"/>
          <w:rtl/>
        </w:rPr>
      </w:pPr>
      <w:r w:rsidRPr="005B039F">
        <w:rPr>
          <w:rFonts w:eastAsia="Calibri" w:hint="cs"/>
          <w:b/>
          <w:bCs/>
          <w:sz w:val="24"/>
          <w:u w:val="single"/>
          <w:rtl/>
        </w:rPr>
        <w:t>התקנת הגשמות, המרזבים והצינור השרשורי</w:t>
      </w:r>
    </w:p>
    <w:p w14:paraId="69FE1F72"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במסגרת סיכומי התובעים התמקדו התובעים בטענה שהוראות דין שונות מחייבות את ביצוע העבודות הנדרשות. במסגרת הליך זה איני רואה צורך להידרש לכך, שכן, וכפי שהובהר, אי עמידה בהוראות הדין, כשלעצמה, אינה מקימה סעד בפני המפקח.</w:t>
      </w:r>
    </w:p>
    <w:p w14:paraId="55093639" w14:textId="77777777" w:rsidR="005B039F"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בכתב התביעה נטען שהעבודות נדרשות לשם מניעת נזקים בדירת התובעים. מדובר בטענה שצריכה הוכחה, אולם המומחה שחוות דעתו צורפה בעניין זה, מר דוד, כפי שצוין לעיל, לא התייצב לעדות. </w:t>
      </w:r>
    </w:p>
    <w:p w14:paraId="72E8E1C9" w14:textId="66086A71" w:rsidR="009806BF" w:rsidRPr="00716F71" w:rsidRDefault="005B039F" w:rsidP="00716F71">
      <w:pPr>
        <w:numPr>
          <w:ilvl w:val="0"/>
          <w:numId w:val="15"/>
        </w:numPr>
        <w:spacing w:after="120" w:line="360" w:lineRule="auto"/>
        <w:contextualSpacing w:val="0"/>
        <w:jc w:val="both"/>
        <w:rPr>
          <w:rFonts w:eastAsia="Calibri"/>
          <w:sz w:val="24"/>
          <w:rtl/>
        </w:rPr>
      </w:pPr>
      <w:r w:rsidRPr="005B039F">
        <w:rPr>
          <w:rFonts w:eastAsia="Calibri" w:hint="cs"/>
          <w:sz w:val="24"/>
          <w:rtl/>
        </w:rPr>
        <w:t>לא הוכח שהעבודות שנתבעו נדרשות לשם מניעת פגיעה בדירת התובעים, ומשכך לא הוכחה זכאותם לסעד בעניין זה.</w:t>
      </w:r>
    </w:p>
    <w:p w14:paraId="7C39EB1C" w14:textId="756D086B" w:rsidR="005B039F" w:rsidRPr="005B039F" w:rsidRDefault="005B039F" w:rsidP="00716F71">
      <w:pPr>
        <w:spacing w:before="100" w:beforeAutospacing="1" w:after="240" w:line="360" w:lineRule="auto"/>
        <w:contextualSpacing w:val="0"/>
        <w:jc w:val="both"/>
        <w:outlineLvl w:val="1"/>
        <w:rPr>
          <w:rFonts w:ascii="David" w:hAnsi="David"/>
          <w:sz w:val="24"/>
        </w:rPr>
      </w:pPr>
      <w:r w:rsidRPr="005B039F">
        <w:rPr>
          <w:rFonts w:ascii="David" w:hAnsi="David"/>
          <w:b/>
          <w:bCs/>
          <w:sz w:val="24"/>
          <w:u w:val="single"/>
          <w:rtl/>
        </w:rPr>
        <w:t>קביעות אופרטיביות</w:t>
      </w:r>
    </w:p>
    <w:p w14:paraId="54FD999E" w14:textId="77777777" w:rsidR="005B039F" w:rsidRPr="005B039F" w:rsidRDefault="005B039F" w:rsidP="00716F71">
      <w:pPr>
        <w:numPr>
          <w:ilvl w:val="0"/>
          <w:numId w:val="15"/>
        </w:numPr>
        <w:spacing w:after="120" w:line="360" w:lineRule="auto"/>
        <w:contextualSpacing w:val="0"/>
        <w:jc w:val="both"/>
        <w:rPr>
          <w:rFonts w:eastAsia="Calibri"/>
          <w:b/>
          <w:bCs/>
          <w:sz w:val="24"/>
        </w:rPr>
      </w:pPr>
      <w:r w:rsidRPr="005B039F">
        <w:rPr>
          <w:rFonts w:eastAsia="Calibri"/>
          <w:b/>
          <w:bCs/>
          <w:sz w:val="24"/>
          <w:rtl/>
        </w:rPr>
        <w:lastRenderedPageBreak/>
        <w:t xml:space="preserve">ניתן צו עשה </w:t>
      </w:r>
      <w:r w:rsidRPr="005B039F">
        <w:rPr>
          <w:rFonts w:eastAsia="Calibri" w:hint="cs"/>
          <w:b/>
          <w:bCs/>
          <w:sz w:val="24"/>
          <w:rtl/>
        </w:rPr>
        <w:t>ש</w:t>
      </w:r>
      <w:r w:rsidRPr="005B039F">
        <w:rPr>
          <w:rFonts w:eastAsia="Calibri"/>
          <w:b/>
          <w:bCs/>
          <w:sz w:val="24"/>
          <w:rtl/>
        </w:rPr>
        <w:t xml:space="preserve">מורה </w:t>
      </w:r>
      <w:r w:rsidRPr="005B039F">
        <w:rPr>
          <w:rFonts w:eastAsia="Calibri" w:hint="cs"/>
          <w:b/>
          <w:bCs/>
          <w:sz w:val="24"/>
          <w:rtl/>
        </w:rPr>
        <w:t xml:space="preserve">לנתבעים להשיב את מפלס שביל הגישה לקדמותו ולשחזר את המדרגה שנגרעה. העבודות תבוצענה </w:t>
      </w:r>
      <w:r w:rsidRPr="005B039F">
        <w:rPr>
          <w:rFonts w:eastAsia="Calibri"/>
          <w:b/>
          <w:bCs/>
          <w:sz w:val="24"/>
          <w:rtl/>
        </w:rPr>
        <w:t xml:space="preserve">על-ידי איש מקצוע מורשה ומיומן, </w:t>
      </w:r>
      <w:r w:rsidRPr="005B039F">
        <w:rPr>
          <w:rFonts w:eastAsia="Calibri" w:hint="cs"/>
          <w:b/>
          <w:bCs/>
          <w:sz w:val="24"/>
          <w:rtl/>
        </w:rPr>
        <w:t>ו</w:t>
      </w:r>
      <w:r w:rsidRPr="005B039F">
        <w:rPr>
          <w:rFonts w:eastAsia="Calibri"/>
          <w:b/>
          <w:bCs/>
          <w:sz w:val="24"/>
          <w:rtl/>
        </w:rPr>
        <w:t>בהתאם להוראות התקן הישראלי.</w:t>
      </w:r>
    </w:p>
    <w:p w14:paraId="66B16360" w14:textId="714D73C6" w:rsidR="00BF226D" w:rsidRPr="005B039F" w:rsidRDefault="005B039F" w:rsidP="005B039F">
      <w:pPr>
        <w:numPr>
          <w:ilvl w:val="0"/>
          <w:numId w:val="15"/>
        </w:numPr>
        <w:spacing w:after="120" w:line="360" w:lineRule="auto"/>
        <w:contextualSpacing w:val="0"/>
        <w:jc w:val="both"/>
        <w:rPr>
          <w:rFonts w:eastAsia="Calibri"/>
          <w:sz w:val="24"/>
        </w:rPr>
      </w:pPr>
      <w:r w:rsidRPr="005B039F">
        <w:rPr>
          <w:rFonts w:eastAsia="Calibri" w:hint="cs"/>
          <w:sz w:val="24"/>
          <w:rtl/>
        </w:rPr>
        <w:t xml:space="preserve">בשל התנהלות הנתבעים </w:t>
      </w:r>
      <w:r w:rsidRPr="005B039F">
        <w:rPr>
          <w:rFonts w:eastAsia="Calibri"/>
          <w:sz w:val="24"/>
          <w:rtl/>
        </w:rPr>
        <w:t>–</w:t>
      </w:r>
      <w:r w:rsidRPr="005B039F">
        <w:rPr>
          <w:rFonts w:eastAsia="Calibri" w:hint="cs"/>
          <w:sz w:val="24"/>
          <w:rtl/>
        </w:rPr>
        <w:t xml:space="preserve"> שכללה הצעת עובדות באופן לא מדויק ושימוש בלשון שאינה ראויה </w:t>
      </w:r>
      <w:r w:rsidRPr="005B039F">
        <w:rPr>
          <w:rFonts w:eastAsia="Calibri"/>
          <w:sz w:val="24"/>
          <w:rtl/>
        </w:rPr>
        <w:t>–</w:t>
      </w:r>
      <w:r w:rsidRPr="005B039F">
        <w:rPr>
          <w:rFonts w:eastAsia="Calibri" w:hint="cs"/>
          <w:sz w:val="24"/>
          <w:rtl/>
        </w:rPr>
        <w:t xml:space="preserve"> איני עושה צו להוצאות</w:t>
      </w:r>
      <w:r w:rsidR="00577988">
        <w:rPr>
          <w:rFonts w:eastAsia="Calibri" w:hint="cs"/>
          <w:sz w:val="24"/>
          <w:rtl/>
        </w:rPr>
        <w:t xml:space="preserve"> לטובתם, וזאת על-אף שהתביעה נדחתה ברובה</w:t>
      </w:r>
      <w:r w:rsidRPr="005B039F">
        <w:rPr>
          <w:rFonts w:eastAsia="Calibri" w:hint="cs"/>
          <w:sz w:val="24"/>
          <w:rtl/>
        </w:rPr>
        <w:t>.</w:t>
      </w:r>
    </w:p>
    <w:p w14:paraId="53863E72" w14:textId="785BEB41" w:rsidR="005B039F" w:rsidRPr="005B039F" w:rsidRDefault="009806BF" w:rsidP="005B039F">
      <w:pPr>
        <w:pStyle w:val="ae"/>
        <w:ind w:left="0"/>
        <w:jc w:val="left"/>
        <w:rPr>
          <w:i w:val="0"/>
          <w:iCs w:val="0"/>
          <w:color w:val="auto"/>
        </w:rPr>
      </w:pPr>
      <w:r>
        <w:rPr>
          <w:noProof/>
        </w:rPr>
        <mc:AlternateContent>
          <mc:Choice Requires="wpi">
            <w:drawing>
              <wp:anchor distT="0" distB="0" distL="114300" distR="114300" simplePos="0" relativeHeight="251659776" behindDoc="0" locked="0" layoutInCell="1" allowOverlap="1" wp14:anchorId="51ECB4D6" wp14:editId="121CAD76">
                <wp:simplePos x="0" y="0"/>
                <wp:positionH relativeFrom="column">
                  <wp:posOffset>724858</wp:posOffset>
                </wp:positionH>
                <wp:positionV relativeFrom="paragraph">
                  <wp:posOffset>124735</wp:posOffset>
                </wp:positionV>
                <wp:extent cx="421428" cy="677487"/>
                <wp:effectExtent l="0" t="0" r="0" b="0"/>
                <wp:wrapNone/>
                <wp:docPr id="14" name="דיו 3"/>
                <wp:cNvGraphicFramePr/>
                <a:graphic xmlns:a="http://schemas.openxmlformats.org/drawingml/2006/main">
                  <a:graphicData uri="http://schemas.microsoft.com/office/word/2010/wordprocessingInk">
                    <w14:contentPart bwMode="auto" r:id="rId11">
                      <w14:nvContentPartPr>
                        <w14:cNvContentPartPr/>
                      </w14:nvContentPartPr>
                      <w14:xfrm>
                        <a:off x="0" y="0"/>
                        <a:ext cx="421428" cy="677487"/>
                      </w14:xfrm>
                    </w14:contentPart>
                  </a:graphicData>
                </a:graphic>
              </wp:anchor>
            </w:drawing>
          </mc:Choice>
          <mc:Fallback>
            <w:pict>
              <v:shapetype w14:anchorId="019F38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 o:spid="_x0000_s1026" type="#_x0000_t75" style="position:absolute;left:0;text-align:left;margin-left:56.75pt;margin-top:9.45pt;width:33.9pt;height:54.05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">
                <v:imagedata r:id="rId12" o:title=""/>
              </v:shape>
            </w:pict>
          </mc:Fallback>
        </mc:AlternateContent>
      </w:r>
      <w:r>
        <w:rPr>
          <w:i w:val="0"/>
          <w:iCs w:val="0"/>
          <w:noProof/>
          <w:color w:val="auto"/>
          <w:rtl/>
          <w:lang w:val="he-IL"/>
        </w:rPr>
        <mc:AlternateContent>
          <mc:Choice Requires="wps">
            <w:drawing>
              <wp:anchor distT="0" distB="0" distL="114300" distR="114300" simplePos="0" relativeHeight="251657728" behindDoc="0" locked="0" layoutInCell="1" allowOverlap="1" wp14:anchorId="6034A2F6" wp14:editId="0B049D24">
                <wp:simplePos x="0" y="0"/>
                <wp:positionH relativeFrom="column">
                  <wp:posOffset>126242</wp:posOffset>
                </wp:positionH>
                <wp:positionV relativeFrom="paragraph">
                  <wp:posOffset>612296</wp:posOffset>
                </wp:positionV>
                <wp:extent cx="1654810" cy="550131"/>
                <wp:effectExtent l="0" t="0" r="0" b="0"/>
                <wp:wrapNone/>
                <wp:docPr id="12" name="כותרת משנה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4810" cy="550131"/>
                        </a:xfrm>
                        <a:prstGeom prst="rect">
                          <a:avLst/>
                        </a:prstGeom>
                      </wps:spPr>
                      <wps:txbx>
                        <w:txbxContent>
                          <w:p w14:paraId="28900644" w14:textId="77777777" w:rsidR="005B039F" w:rsidRDefault="005B039F" w:rsidP="00DC0C2E">
                            <w:pPr>
                              <w:jc w:val="center"/>
                              <w:rPr>
                                <w:rFonts w:ascii="David" w:hAnsi="David"/>
                                <w:color w:val="000000" w:themeColor="text1"/>
                                <w:kern w:val="24"/>
                              </w:rPr>
                            </w:pPr>
                            <w:r>
                              <w:rPr>
                                <w:rFonts w:ascii="David" w:hAnsi="David"/>
                                <w:color w:val="000000" w:themeColor="text1"/>
                                <w:kern w:val="24"/>
                                <w:rtl/>
                              </w:rPr>
                              <w:t>_________________</w:t>
                            </w:r>
                          </w:p>
                          <w:p w14:paraId="384D20F1" w14:textId="77777777" w:rsidR="005B039F" w:rsidRPr="00B2668E" w:rsidRDefault="005B039F" w:rsidP="00DC0C2E">
                            <w:pPr>
                              <w:jc w:val="center"/>
                              <w:rPr>
                                <w:rFonts w:ascii="David" w:hAnsi="David"/>
                                <w:color w:val="000000" w:themeColor="text1"/>
                                <w:kern w:val="24"/>
                                <w:rtl/>
                              </w:rPr>
                            </w:pPr>
                            <w:r w:rsidRPr="00B2668E">
                              <w:rPr>
                                <w:rFonts w:ascii="David" w:hAnsi="David"/>
                                <w:color w:val="000000" w:themeColor="text1"/>
                                <w:kern w:val="24"/>
                                <w:rtl/>
                              </w:rPr>
                              <w:t>ברק ליפשיץ</w:t>
                            </w:r>
                          </w:p>
                          <w:p w14:paraId="01F586E9" w14:textId="77777777" w:rsidR="005B039F" w:rsidRDefault="005B039F" w:rsidP="00DC0C2E">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wps:txbx>
                      <wps:bodyPr vert="horz" lIns="91440" tIns="45720" rIns="91440" bIns="45720" rtlCol="1">
                        <a:noAutofit/>
                      </wps:bodyPr>
                    </wps:wsp>
                  </a:graphicData>
                </a:graphic>
              </wp:anchor>
            </w:drawing>
          </mc:Choice>
          <mc:Fallback>
            <w:pict>
              <v:rect w14:anchorId="6034A2F6" id="כותרת משנה 2" o:spid="_x0000_s1026" style="position:absolute;left:0;text-align:left;margin-left:9.95pt;margin-top:48.2pt;width:130.3pt;height:43.3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" filled="f" stroked="f">
                <o:lock v:ext="edit" grouping="t"/>
                <v:textbox>
                  <w:txbxContent>
                    <w:p w14:paraId="28900644" w14:textId="77777777" w:rsidR="005B039F" w:rsidRDefault="005B039F" w:rsidP="00DC0C2E">
                      <w:pPr>
                        <w:jc w:val="center"/>
                        <w:rPr>
                          <w:rFonts w:ascii="David" w:hAnsi="David"/>
                          <w:color w:val="000000" w:themeColor="text1"/>
                          <w:kern w:val="24"/>
                        </w:rPr>
                      </w:pPr>
                      <w:r>
                        <w:rPr>
                          <w:rFonts w:ascii="David" w:hAnsi="David"/>
                          <w:color w:val="000000" w:themeColor="text1"/>
                          <w:kern w:val="24"/>
                          <w:rtl/>
                        </w:rPr>
                        <w:t>_________________</w:t>
                      </w:r>
                    </w:p>
                    <w:p w14:paraId="384D20F1" w14:textId="77777777" w:rsidR="005B039F" w:rsidRPr="00B2668E" w:rsidRDefault="005B039F" w:rsidP="00DC0C2E">
                      <w:pPr>
                        <w:jc w:val="center"/>
                        <w:rPr>
                          <w:rFonts w:ascii="David" w:hAnsi="David"/>
                          <w:color w:val="000000" w:themeColor="text1"/>
                          <w:kern w:val="24"/>
                          <w:rtl/>
                        </w:rPr>
                      </w:pPr>
                      <w:r w:rsidRPr="00B2668E">
                        <w:rPr>
                          <w:rFonts w:ascii="David" w:hAnsi="David"/>
                          <w:color w:val="000000" w:themeColor="text1"/>
                          <w:kern w:val="24"/>
                          <w:rtl/>
                        </w:rPr>
                        <w:t>ברק ליפשיץ</w:t>
                      </w:r>
                    </w:p>
                    <w:p w14:paraId="01F586E9" w14:textId="77777777" w:rsidR="005B039F" w:rsidRDefault="005B039F" w:rsidP="00DC0C2E">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v:textbox>
              </v:rect>
            </w:pict>
          </mc:Fallback>
        </mc:AlternateContent>
      </w:r>
      <w:r w:rsidR="005B039F" w:rsidRPr="005B039F">
        <w:rPr>
          <w:i w:val="0"/>
          <w:iCs w:val="0"/>
          <w:color w:val="auto"/>
          <w:rtl/>
        </w:rPr>
        <w:t>‏</w:t>
      </w:r>
      <w:r w:rsidR="005B039F" w:rsidRPr="005B039F">
        <w:rPr>
          <w:bCs/>
          <w:i w:val="0"/>
          <w:iCs w:val="0"/>
          <w:color w:val="auto"/>
          <w:rtl/>
        </w:rPr>
        <w:t>נית</w:t>
      </w:r>
      <w:r>
        <w:rPr>
          <w:rFonts w:hint="cs"/>
          <w:bCs/>
          <w:i w:val="0"/>
          <w:iCs w:val="0"/>
          <w:color w:val="auto"/>
          <w:rtl/>
        </w:rPr>
        <w:t>ן</w:t>
      </w:r>
      <w:r w:rsidR="005B039F" w:rsidRPr="005B039F">
        <w:rPr>
          <w:bCs/>
          <w:i w:val="0"/>
          <w:iCs w:val="0"/>
          <w:color w:val="auto"/>
          <w:rtl/>
        </w:rPr>
        <w:t xml:space="preserve"> היום</w:t>
      </w:r>
      <w:r w:rsidR="000A199B">
        <w:rPr>
          <w:rFonts w:hint="cs"/>
          <w:b/>
          <w:bCs/>
          <w:i w:val="0"/>
          <w:iCs w:val="0"/>
          <w:color w:val="auto"/>
          <w:rtl/>
        </w:rPr>
        <w:t xml:space="preserve"> 21.7.2025</w:t>
      </w:r>
      <w:r w:rsidR="005B039F" w:rsidRPr="005B039F">
        <w:rPr>
          <w:bCs/>
          <w:i w:val="0"/>
          <w:iCs w:val="0"/>
          <w:color w:val="auto"/>
          <w:rtl/>
        </w:rPr>
        <w:t>,</w:t>
      </w:r>
      <w:r w:rsidR="000A199B">
        <w:rPr>
          <w:rFonts w:hint="cs"/>
          <w:bCs/>
          <w:i w:val="0"/>
          <w:iCs w:val="0"/>
          <w:color w:val="auto"/>
          <w:rtl/>
        </w:rPr>
        <w:t xml:space="preserve"> כ"ה תמוז תשפ"ה</w:t>
      </w:r>
      <w:r w:rsidR="005B039F" w:rsidRPr="005B039F">
        <w:rPr>
          <w:bCs/>
          <w:i w:val="0"/>
          <w:iCs w:val="0"/>
          <w:color w:val="auto"/>
          <w:rtl/>
        </w:rPr>
        <w:t>, בהיעדר הצדדים</w:t>
      </w:r>
    </w:p>
    <w:sectPr w:rsidR="005B039F" w:rsidRPr="005B039F" w:rsidSect="00B06DCB">
      <w:headerReference w:type="default" r:id="rId13"/>
      <w:footerReference w:type="default" r:id="rId14"/>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33D82" w14:textId="77777777" w:rsidR="00CF14EB" w:rsidRDefault="00CF14EB" w:rsidP="00E6645A">
      <w:r>
        <w:separator/>
      </w:r>
    </w:p>
  </w:endnote>
  <w:endnote w:type="continuationSeparator" w:id="0">
    <w:p w14:paraId="667B1665" w14:textId="77777777" w:rsidR="00CF14EB" w:rsidRDefault="00CF14EB"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5BCB1AD2"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681711">
          <w:fldChar w:fldCharType="begin"/>
        </w:r>
        <w:r w:rsidR="00681711">
          <w:instrText xml:space="preserve"> PAGE   \* MERGEFORMAT </w:instrText>
        </w:r>
        <w:r w:rsidR="00681711">
          <w:fldChar w:fldCharType="separate"/>
        </w:r>
        <w:r w:rsidR="005B039F">
          <w:rPr>
            <w:noProof/>
            <w:rtl/>
          </w:rPr>
          <w:t>1</w:t>
        </w:r>
        <w:r w:rsidR="00681711">
          <w:fldChar w:fldCharType="end"/>
        </w:r>
      </w:p>
    </w:sdtContent>
  </w:sdt>
  <w:p w14:paraId="19D0C4CE"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6032C" w14:textId="77777777" w:rsidR="00CF14EB" w:rsidRDefault="00CF14EB" w:rsidP="00E6645A">
      <w:r>
        <w:separator/>
      </w:r>
    </w:p>
  </w:footnote>
  <w:footnote w:type="continuationSeparator" w:id="0">
    <w:p w14:paraId="1D9BD845" w14:textId="77777777" w:rsidR="00CF14EB" w:rsidRDefault="00CF14EB"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C95B8"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415CAA38" wp14:editId="1AFB06B4">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3AD8AA02"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24FED35D"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5EFF58F2" w14:textId="77777777" w:rsidR="003A2D09" w:rsidRPr="00257FA6" w:rsidRDefault="001E56A2" w:rsidP="003A2D09">
    <w:pPr>
      <w:pStyle w:val="a6"/>
      <w:jc w:val="center"/>
      <w:rPr>
        <w:rFonts w:ascii="Arial" w:hAnsi="Arial"/>
        <w:b/>
        <w:bCs/>
        <w:sz w:val="20"/>
        <w:rtl/>
      </w:rPr>
    </w:pPr>
    <w:r>
      <w:rPr>
        <w:rFonts w:ascii="David" w:hAnsi="David"/>
        <w:b/>
        <w:bCs/>
        <w:noProof/>
        <w:sz w:val="24"/>
        <w:rtl/>
      </w:rPr>
      <w:t>באר שבע</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13C9EE11" w14:textId="77777777" w:rsidTr="001035B0">
      <w:tc>
        <w:tcPr>
          <w:tcW w:w="3118" w:type="dxa"/>
        </w:tcPr>
        <w:p w14:paraId="050424AB"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0AFF650E"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02D46EA8"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2AA5C8B9" w14:textId="77777777" w:rsidR="00D3650D" w:rsidRPr="00257FA6" w:rsidRDefault="00D3650D" w:rsidP="00373A1B">
          <w:pPr>
            <w:pStyle w:val="a6"/>
            <w:jc w:val="center"/>
            <w:rPr>
              <w:rFonts w:ascii="Arial" w:hAnsi="Arial"/>
              <w:b/>
              <w:bCs/>
              <w:sz w:val="20"/>
              <w:rtl/>
            </w:rPr>
          </w:pPr>
        </w:p>
      </w:tc>
      <w:tc>
        <w:tcPr>
          <w:tcW w:w="4537" w:type="dxa"/>
        </w:tcPr>
        <w:p w14:paraId="351222B3" w14:textId="6C42A308" w:rsidR="00D3650D" w:rsidRPr="00257FA6" w:rsidRDefault="001E56A2" w:rsidP="001C63D8">
          <w:pPr>
            <w:pStyle w:val="a6"/>
            <w:rPr>
              <w:rFonts w:ascii="Arial" w:hAnsi="Arial"/>
              <w:b/>
              <w:bCs/>
              <w:sz w:val="20"/>
              <w:rtl/>
            </w:rPr>
          </w:pPr>
          <w:r>
            <w:rPr>
              <w:rFonts w:ascii="David" w:hAnsi="David"/>
              <w:b/>
              <w:bCs/>
              <w:noProof/>
              <w:sz w:val="24"/>
              <w:rtl/>
            </w:rPr>
            <w:t>מס' תיק: 2/66/2022</w:t>
          </w:r>
          <w:r>
            <w:br/>
          </w:r>
        </w:p>
      </w:tc>
    </w:tr>
  </w:tbl>
  <w:p w14:paraId="44BECF21"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10263145"/>
    <w:multiLevelType w:val="hybridMultilevel"/>
    <w:tmpl w:val="BF96886E"/>
    <w:lvl w:ilvl="0" w:tplc="0409000F">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85D52F2"/>
    <w:multiLevelType w:val="hybridMultilevel"/>
    <w:tmpl w:val="171C0D9C"/>
    <w:lvl w:ilvl="0" w:tplc="D5CEE7C6">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013934"/>
    <w:multiLevelType w:val="hybridMultilevel"/>
    <w:tmpl w:val="AA76FA80"/>
    <w:lvl w:ilvl="0" w:tplc="115C3F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6"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15"/>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6"/>
  </w:num>
  <w:num w:numId="15">
    <w:abstractNumId w:val="11"/>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1"/>
    <w:docVar w:name="P1" w:val="Document MetaData-27/07/2025 12:48:08"/>
    <w:docVar w:name="P2" w:val="Document Headings-27/07/2025 12:48:18"/>
    <w:docVar w:name="ParaNumber" w:val="122"/>
  </w:docVars>
  <w:rsids>
    <w:rsidRoot w:val="00A85247"/>
    <w:rsid w:val="00002AEE"/>
    <w:rsid w:val="00003CC5"/>
    <w:rsid w:val="00005402"/>
    <w:rsid w:val="000057E8"/>
    <w:rsid w:val="00020148"/>
    <w:rsid w:val="0002373E"/>
    <w:rsid w:val="00041D06"/>
    <w:rsid w:val="00064A36"/>
    <w:rsid w:val="00067456"/>
    <w:rsid w:val="00073376"/>
    <w:rsid w:val="0007500C"/>
    <w:rsid w:val="000752D2"/>
    <w:rsid w:val="0008218B"/>
    <w:rsid w:val="00082BC7"/>
    <w:rsid w:val="000834B7"/>
    <w:rsid w:val="000960BA"/>
    <w:rsid w:val="000A199B"/>
    <w:rsid w:val="000C25E1"/>
    <w:rsid w:val="000D1035"/>
    <w:rsid w:val="000E046E"/>
    <w:rsid w:val="000E59A0"/>
    <w:rsid w:val="000F1BB5"/>
    <w:rsid w:val="000F40C1"/>
    <w:rsid w:val="0010153E"/>
    <w:rsid w:val="001035B0"/>
    <w:rsid w:val="00107339"/>
    <w:rsid w:val="001166DA"/>
    <w:rsid w:val="00141176"/>
    <w:rsid w:val="00171732"/>
    <w:rsid w:val="001A73F3"/>
    <w:rsid w:val="001D4325"/>
    <w:rsid w:val="001E56A2"/>
    <w:rsid w:val="001F5C40"/>
    <w:rsid w:val="00222F34"/>
    <w:rsid w:val="00227E56"/>
    <w:rsid w:val="00227EDD"/>
    <w:rsid w:val="00237FAC"/>
    <w:rsid w:val="00257FA6"/>
    <w:rsid w:val="0026341F"/>
    <w:rsid w:val="0028308D"/>
    <w:rsid w:val="00285EE4"/>
    <w:rsid w:val="0029374F"/>
    <w:rsid w:val="002A668B"/>
    <w:rsid w:val="00302C45"/>
    <w:rsid w:val="00344FAA"/>
    <w:rsid w:val="0034710D"/>
    <w:rsid w:val="00353E71"/>
    <w:rsid w:val="00355305"/>
    <w:rsid w:val="00355C48"/>
    <w:rsid w:val="003571AE"/>
    <w:rsid w:val="0036024A"/>
    <w:rsid w:val="00382123"/>
    <w:rsid w:val="003A2D09"/>
    <w:rsid w:val="003A5B0C"/>
    <w:rsid w:val="003E0904"/>
    <w:rsid w:val="003E5409"/>
    <w:rsid w:val="003F0297"/>
    <w:rsid w:val="003F03E7"/>
    <w:rsid w:val="00416D3E"/>
    <w:rsid w:val="0043108A"/>
    <w:rsid w:val="00436544"/>
    <w:rsid w:val="004507C9"/>
    <w:rsid w:val="00451EC5"/>
    <w:rsid w:val="0046217D"/>
    <w:rsid w:val="0046318A"/>
    <w:rsid w:val="004652EB"/>
    <w:rsid w:val="00472CF9"/>
    <w:rsid w:val="00492E70"/>
    <w:rsid w:val="004C4A98"/>
    <w:rsid w:val="004E326D"/>
    <w:rsid w:val="004F780E"/>
    <w:rsid w:val="00506114"/>
    <w:rsid w:val="00533418"/>
    <w:rsid w:val="00535A25"/>
    <w:rsid w:val="00545351"/>
    <w:rsid w:val="00545579"/>
    <w:rsid w:val="00555A87"/>
    <w:rsid w:val="005714F0"/>
    <w:rsid w:val="00577988"/>
    <w:rsid w:val="005807C0"/>
    <w:rsid w:val="005A4338"/>
    <w:rsid w:val="005B039F"/>
    <w:rsid w:val="005B2A07"/>
    <w:rsid w:val="005B6D9F"/>
    <w:rsid w:val="005B7227"/>
    <w:rsid w:val="005E07ED"/>
    <w:rsid w:val="005E224F"/>
    <w:rsid w:val="005F04A9"/>
    <w:rsid w:val="005F390D"/>
    <w:rsid w:val="00627AC1"/>
    <w:rsid w:val="0063709C"/>
    <w:rsid w:val="006478D8"/>
    <w:rsid w:val="00651AB5"/>
    <w:rsid w:val="00657C5B"/>
    <w:rsid w:val="0066182D"/>
    <w:rsid w:val="00677D3C"/>
    <w:rsid w:val="00681711"/>
    <w:rsid w:val="0068496F"/>
    <w:rsid w:val="006906EC"/>
    <w:rsid w:val="00696EE2"/>
    <w:rsid w:val="006D4388"/>
    <w:rsid w:val="006E5B31"/>
    <w:rsid w:val="006F3E4F"/>
    <w:rsid w:val="006F56CC"/>
    <w:rsid w:val="00716D3E"/>
    <w:rsid w:val="00716F71"/>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06E0A"/>
    <w:rsid w:val="008346FC"/>
    <w:rsid w:val="00835647"/>
    <w:rsid w:val="00841790"/>
    <w:rsid w:val="00846D73"/>
    <w:rsid w:val="00850B49"/>
    <w:rsid w:val="0086487F"/>
    <w:rsid w:val="00867BA8"/>
    <w:rsid w:val="008716BE"/>
    <w:rsid w:val="00895C0A"/>
    <w:rsid w:val="008A2AB4"/>
    <w:rsid w:val="008A7D76"/>
    <w:rsid w:val="008C4D39"/>
    <w:rsid w:val="008E0BDC"/>
    <w:rsid w:val="009058E3"/>
    <w:rsid w:val="00941F0E"/>
    <w:rsid w:val="0095273E"/>
    <w:rsid w:val="00954DDD"/>
    <w:rsid w:val="009806BF"/>
    <w:rsid w:val="00982571"/>
    <w:rsid w:val="00986C4F"/>
    <w:rsid w:val="00995661"/>
    <w:rsid w:val="009957CE"/>
    <w:rsid w:val="009E14FF"/>
    <w:rsid w:val="009E6737"/>
    <w:rsid w:val="009F14CE"/>
    <w:rsid w:val="009F46C4"/>
    <w:rsid w:val="00A014E7"/>
    <w:rsid w:val="00A02096"/>
    <w:rsid w:val="00A12C45"/>
    <w:rsid w:val="00A24785"/>
    <w:rsid w:val="00A3282F"/>
    <w:rsid w:val="00A44778"/>
    <w:rsid w:val="00A4569A"/>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453B"/>
    <w:rsid w:val="00BD2B92"/>
    <w:rsid w:val="00BD611E"/>
    <w:rsid w:val="00BF226D"/>
    <w:rsid w:val="00BF7343"/>
    <w:rsid w:val="00C06756"/>
    <w:rsid w:val="00C07D14"/>
    <w:rsid w:val="00C21C67"/>
    <w:rsid w:val="00C2248B"/>
    <w:rsid w:val="00C32D24"/>
    <w:rsid w:val="00C333A2"/>
    <w:rsid w:val="00C351AC"/>
    <w:rsid w:val="00C452A8"/>
    <w:rsid w:val="00C60A02"/>
    <w:rsid w:val="00C8524A"/>
    <w:rsid w:val="00C92D3D"/>
    <w:rsid w:val="00CB0964"/>
    <w:rsid w:val="00CB44D3"/>
    <w:rsid w:val="00CB6B96"/>
    <w:rsid w:val="00CD0363"/>
    <w:rsid w:val="00CF14EB"/>
    <w:rsid w:val="00CF458D"/>
    <w:rsid w:val="00D0443B"/>
    <w:rsid w:val="00D11EF2"/>
    <w:rsid w:val="00D3650D"/>
    <w:rsid w:val="00D40469"/>
    <w:rsid w:val="00D507E2"/>
    <w:rsid w:val="00D54636"/>
    <w:rsid w:val="00D63F0C"/>
    <w:rsid w:val="00D80962"/>
    <w:rsid w:val="00D87FB9"/>
    <w:rsid w:val="00DB2354"/>
    <w:rsid w:val="00DB6109"/>
    <w:rsid w:val="00DE34C9"/>
    <w:rsid w:val="00DE6CD5"/>
    <w:rsid w:val="00E0435C"/>
    <w:rsid w:val="00E114C4"/>
    <w:rsid w:val="00E13BDC"/>
    <w:rsid w:val="00E17AC8"/>
    <w:rsid w:val="00E2132A"/>
    <w:rsid w:val="00E33D5F"/>
    <w:rsid w:val="00E5481C"/>
    <w:rsid w:val="00E644DA"/>
    <w:rsid w:val="00E6645A"/>
    <w:rsid w:val="00E67049"/>
    <w:rsid w:val="00E73B5A"/>
    <w:rsid w:val="00E8345C"/>
    <w:rsid w:val="00E84FA8"/>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C096143"/>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link w:val="ad"/>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character" w:customStyle="1" w:styleId="ad">
    <w:name w:val="פיסקת רשימה תו"/>
    <w:link w:val="ac"/>
    <w:uiPriority w:val="34"/>
    <w:locked/>
    <w:rsid w:val="005B039F"/>
    <w:rPr>
      <w:rFonts w:ascii="Times New Roman" w:hAnsi="Times New Roman" w:cs="David"/>
      <w:szCs w:val="24"/>
    </w:rPr>
  </w:style>
  <w:style w:type="paragraph" w:styleId="ae">
    <w:name w:val="Quote"/>
    <w:basedOn w:val="a"/>
    <w:next w:val="a"/>
    <w:link w:val="af"/>
    <w:uiPriority w:val="29"/>
    <w:qFormat/>
    <w:rsid w:val="005B039F"/>
    <w:pPr>
      <w:spacing w:before="200" w:after="160"/>
      <w:ind w:left="864" w:right="864"/>
      <w:jc w:val="center"/>
    </w:pPr>
    <w:rPr>
      <w:i/>
      <w:iCs/>
      <w:color w:val="404040" w:themeColor="text1" w:themeTint="BF"/>
    </w:rPr>
  </w:style>
  <w:style w:type="character" w:customStyle="1" w:styleId="af">
    <w:name w:val="ציטוט תו"/>
    <w:basedOn w:val="a0"/>
    <w:link w:val="ae"/>
    <w:uiPriority w:val="29"/>
    <w:rsid w:val="005B039F"/>
    <w:rPr>
      <w:rFonts w:ascii="Times New Roman" w:hAnsi="Times New Roman" w:cs="David"/>
      <w:i/>
      <w:iCs/>
      <w:color w:val="404040" w:themeColor="text1" w:themeTint="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5T06:23:20.098"/>
    </inkml:context>
    <inkml:brush xml:id="br0">
      <inkml:brushProperty name="width" value="0.025" units="cm"/>
      <inkml:brushProperty name="height" value="0.025" units="cm"/>
      <inkml:brushProperty name="ignorePressure" value="1"/>
    </inkml:brush>
  </inkml:definitions>
  <inkml:trace contextRef="#ctx0" brushRef="#br0">442 763,'6'-7,"1"0,0-1,0 2,0-1,1 1,0 1,2 0,-2 0,1 1,-1-1,1 2,0 0,1 1,-1-1,0 2,1-1,15 1,6-1,115 2,-130 1,1 1,-1 0,-1 2,2 0,-2 1,26 11,-30-8,1 0,-1-1,-1 2,0 0,0 1,-1 0,9 13,55 82,-60-80,-1 2,-1-1,0 2,-3-1,0 1,-1 1,-2-1,0 1,1 49,-6-70,0 0,0 0,-1 1,-1-1,1 1,-2-1,1 0,0 0,-1-1,-1 1,1 0,-1-1,0 0,0 0,-1 0,0-1,0 1,0-1,-1-1,0 1,0-1,-1 0,1-1,-1 1,1-2,-1 1,-1 0,1-2,0 1,-13 2,-1-2,1 1,0-3,-1 0,1-2,-1 1,-25-6,26 0,1 0,0-1,1-2,-1 1,1-2,-20-15,24 15,-2-1,2 3,-2-1,0 2,-1 0,1 1,-1 1,-29-6,-15 6,-38-3,88 8,-1 1,0 0,0 1,0 1,1-1,-16 8,-32 12,38-15,-1 1,-30 17,45-22,1 2,0 0,-1 0,2 0,-1 0,0 1,2 0,-2 0,2 0,-1 1,-5 11,0 5,3-1,-1 1,1 0,2 1,0 0,1-1,1 1,2 0,0 1,1-1,5 40,-2-52,-1 1,1-1,0 1,8 13,-10-20,1-1,1 0,0 0,0-1,-1 1,2 0,-1-1,1 0,0 0,0 0,8 5,-11-8,0-1,0 1,0-1,0 0,1 0,-1 1,0-1,0 0,0 0,0 0,1-1,-1 1,0 0,1-1,-2 1,1-1,1 1,-1-1,0 0,0 1,0 0,0-1,0 0,0 0,0 0,-1 0,1 0,0 1,1-4,23-35,-22 35,17-34,-1-1,-1 1,-3-3,-1 1,-1-1,-2-1,-2 0,-2-1,-1 1,-2-2,-2 1,-1-1,-2 2,-10-76,-49-147,11 64,38 134,4-1,1 1,5-96,1 151,2 0,-1 0,2 0,0 0,0 1,1-1,1 1,-1 0,1 0,0 1,2 0,-1-1,1 2,0 0,0-1,1 2,0-1,1 1,17-11,-12 8,2 1,0 0,1 1,0 1,0 0,0 2,1 0,-1 2,2 0,-1 1,23 0,12 4,55 10,-90-9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2.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3.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4.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2256</Words>
  <Characters>10743</Characters>
  <Application>Microsoft Office Word</Application>
  <DocSecurity>0</DocSecurity>
  <Lines>246</Lines>
  <Paragraphs>95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2/66/2022 פסק דין</dc:title>
  <dc:creator>susyl</dc:creator>
  <dc:description>שלב 3 - טיפול בטבלאות 
</dc:description>
  <cp:lastModifiedBy>LIOR ALOMI</cp:lastModifiedBy>
  <cp:revision>8</cp:revision>
  <cp:lastPrinted>2011-05-23T06:49:00Z</cp:lastPrinted>
  <dcterms:created xsi:type="dcterms:W3CDTF">2025-07-27T09:46:00Z</dcterms:created>
  <dcterms:modified xsi:type="dcterms:W3CDTF">2025-07-27T09:49:00Z</dcterms:modified>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