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3118"/>
        <w:gridCol w:w="3686"/>
        <w:gridCol w:w="4537"/>
      </w:tblGrid>
      <w:tr w:rsidR="001035B0" w:rsidRPr="008A7D76" w14:paraId="516A8931" w14:textId="77777777" w:rsidTr="00C77800">
        <w:tc>
          <w:tcPr>
            <w:tcW w:w="3118" w:type="dxa"/>
          </w:tcPr>
          <w:p w14:paraId="5AE91FAB" w14:textId="77777777" w:rsidR="001035B0" w:rsidRPr="008A7D76" w:rsidRDefault="001035B0" w:rsidP="007A5335">
            <w:pPr>
              <w:pStyle w:val="a6"/>
              <w:jc w:val="center"/>
              <w:rPr>
                <w:rFonts w:ascii="David" w:hAnsi="David"/>
                <w:b/>
                <w:bCs/>
                <w:sz w:val="24"/>
                <w:rtl/>
              </w:rPr>
            </w:pPr>
          </w:p>
        </w:tc>
        <w:tc>
          <w:tcPr>
            <w:tcW w:w="3686" w:type="dxa"/>
          </w:tcPr>
          <w:p w14:paraId="3C70BACA" w14:textId="77777777" w:rsidR="001035B0" w:rsidRPr="008A7D76" w:rsidRDefault="001035B0" w:rsidP="007A5335">
            <w:pPr>
              <w:pStyle w:val="a6"/>
              <w:jc w:val="center"/>
              <w:rPr>
                <w:rFonts w:ascii="David" w:hAnsi="David"/>
                <w:b/>
                <w:bCs/>
                <w:sz w:val="24"/>
                <w:rtl/>
              </w:rPr>
            </w:pPr>
          </w:p>
        </w:tc>
        <w:tc>
          <w:tcPr>
            <w:tcW w:w="4537" w:type="dxa"/>
          </w:tcPr>
          <w:p w14:paraId="4BEBE250" w14:textId="77777777" w:rsidR="00570DA1" w:rsidRDefault="00570DA1" w:rsidP="009C6D05">
            <w:r>
              <w:rPr>
                <w:rFonts w:ascii="David" w:hAnsi="David" w:hint="cs"/>
                <w:b/>
                <w:bCs/>
                <w:sz w:val="24"/>
                <w:rtl/>
              </w:rPr>
              <w:t>ל</w:t>
            </w:r>
            <w:r w:rsidR="001035B0" w:rsidRPr="008A7D76">
              <w:rPr>
                <w:rFonts w:ascii="David" w:hAnsi="David" w:hint="cs"/>
                <w:b/>
                <w:bCs/>
                <w:sz w:val="24"/>
                <w:rtl/>
              </w:rPr>
              <w:t xml:space="preserve">פני כבוד </w:t>
            </w:r>
            <w:r>
              <w:rPr>
                <w:rFonts w:ascii="David" w:hAnsi="David" w:hint="cs"/>
                <w:b/>
                <w:bCs/>
                <w:sz w:val="24"/>
                <w:rtl/>
              </w:rPr>
              <w:t>ה</w:t>
            </w:r>
            <w:r w:rsidR="001035B0">
              <w:rPr>
                <w:rFonts w:ascii="David" w:hAnsi="David"/>
                <w:b/>
                <w:bCs/>
                <w:noProof/>
                <w:sz w:val="24"/>
                <w:rtl/>
              </w:rPr>
              <w:t>מפקח על רישום מקרקעין</w:t>
            </w:r>
            <w:r w:rsidR="005F04A9">
              <w:t xml:space="preserve"> </w:t>
            </w:r>
          </w:p>
          <w:p w14:paraId="4BBA9ECA" w14:textId="4FD22540" w:rsidR="001035B0" w:rsidRPr="008A7D76" w:rsidRDefault="001035B0" w:rsidP="009C6D05">
            <w:pPr>
              <w:rPr>
                <w:rFonts w:ascii="David" w:hAnsi="David"/>
                <w:sz w:val="24"/>
                <w:rtl/>
              </w:rPr>
            </w:pPr>
            <w:r>
              <w:rPr>
                <w:rFonts w:ascii="David" w:hAnsi="David"/>
                <w:b/>
                <w:bCs/>
                <w:noProof/>
                <w:sz w:val="24"/>
                <w:rtl/>
              </w:rPr>
              <w:t>ברק ליפשיץ</w:t>
            </w:r>
          </w:p>
        </w:tc>
      </w:tr>
    </w:tbl>
    <w:p w14:paraId="3DED27D5" w14:textId="3355FDA4" w:rsidR="00D3650D" w:rsidRPr="00107339" w:rsidRDefault="00D3650D" w:rsidP="00D43837">
      <w:pPr>
        <w:spacing w:after="200" w:line="276" w:lineRule="auto"/>
        <w:contextualSpacing w:val="0"/>
        <w:jc w:val="center"/>
        <w:rPr>
          <w:b/>
          <w:bCs/>
          <w:color w:val="FF0000"/>
          <w:sz w:val="32"/>
          <w:szCs w:val="32"/>
          <w:rtl/>
        </w:rPr>
      </w:pPr>
    </w:p>
    <w:tbl>
      <w:tblPr>
        <w:tblStyle w:val="TableGrid1"/>
        <w:bidiVisual/>
        <w:tblW w:w="5905" w:type="pc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1796"/>
        <w:gridCol w:w="1658"/>
        <w:gridCol w:w="691"/>
        <w:gridCol w:w="5664"/>
      </w:tblGrid>
      <w:tr w:rsidR="0032032C" w14:paraId="3BCD0D9E" w14:textId="77777777" w:rsidTr="0046199F">
        <w:trPr>
          <w:cantSplit/>
        </w:trPr>
        <w:tc>
          <w:tcPr>
            <w:tcW w:w="916" w:type="pct"/>
          </w:tcPr>
          <w:p w14:paraId="4E1DF89C" w14:textId="11448EA9" w:rsidR="0032032C" w:rsidRDefault="00570DA1">
            <w:pPr>
              <w:spacing w:before="100" w:beforeAutospacing="1" w:after="100" w:afterAutospacing="1" w:line="276" w:lineRule="auto"/>
              <w:rPr>
                <w:rFonts w:ascii="David" w:hAnsi="David"/>
                <w:sz w:val="24"/>
                <w:rtl/>
              </w:rPr>
            </w:pPr>
            <w:r>
              <w:rPr>
                <w:rFonts w:ascii="David" w:hAnsi="David" w:hint="cs"/>
                <w:sz w:val="24"/>
                <w:rtl/>
              </w:rPr>
              <w:t>ה</w:t>
            </w:r>
            <w:r w:rsidR="003136D2">
              <w:rPr>
                <w:rFonts w:ascii="David" w:hAnsi="David"/>
                <w:sz w:val="24"/>
                <w:rtl/>
              </w:rPr>
              <w:t>מבקשים</w:t>
            </w:r>
            <w:r>
              <w:rPr>
                <w:rFonts w:ascii="David" w:hAnsi="David" w:hint="cs"/>
                <w:sz w:val="24"/>
                <w:rtl/>
              </w:rPr>
              <w:t>:</w:t>
            </w:r>
          </w:p>
        </w:tc>
        <w:tc>
          <w:tcPr>
            <w:tcW w:w="845" w:type="pct"/>
          </w:tcPr>
          <w:p w14:paraId="6ED75787" w14:textId="77777777" w:rsidR="0032032C" w:rsidRDefault="0032032C">
            <w:pPr>
              <w:spacing w:before="100" w:beforeAutospacing="1" w:after="100" w:afterAutospacing="1"/>
              <w:rPr>
                <w:rFonts w:ascii="David" w:hAnsi="David"/>
                <w:sz w:val="24"/>
              </w:rPr>
            </w:pPr>
          </w:p>
        </w:tc>
        <w:tc>
          <w:tcPr>
            <w:tcW w:w="352" w:type="pct"/>
          </w:tcPr>
          <w:p w14:paraId="5645D499" w14:textId="77777777" w:rsidR="0032032C" w:rsidRDefault="003136D2">
            <w:pPr>
              <w:spacing w:before="100" w:beforeAutospacing="1" w:after="100" w:afterAutospacing="1"/>
              <w:rPr>
                <w:rFonts w:ascii="David" w:hAnsi="David"/>
                <w:sz w:val="24"/>
                <w:rtl/>
              </w:rPr>
            </w:pPr>
            <w:r>
              <w:rPr>
                <w:rFonts w:ascii="David" w:hAnsi="David"/>
                <w:sz w:val="24"/>
                <w:rtl/>
              </w:rPr>
              <w:t>1</w:t>
            </w:r>
          </w:p>
        </w:tc>
        <w:tc>
          <w:tcPr>
            <w:tcW w:w="2887" w:type="pct"/>
          </w:tcPr>
          <w:p w14:paraId="4FF9C37A" w14:textId="09F35636" w:rsidR="0032032C" w:rsidRDefault="003136D2">
            <w:pPr>
              <w:spacing w:before="100" w:beforeAutospacing="1" w:after="100" w:afterAutospacing="1" w:line="276" w:lineRule="auto"/>
              <w:rPr>
                <w:rFonts w:ascii="David" w:hAnsi="David" w:hint="cs"/>
                <w:sz w:val="24"/>
                <w:rtl/>
              </w:rPr>
            </w:pPr>
            <w:r>
              <w:rPr>
                <w:rFonts w:ascii="David" w:hAnsi="David"/>
                <w:sz w:val="24"/>
              </w:rPr>
              <w:t>קסטילו כהן ריטה</w:t>
            </w:r>
            <w:r w:rsidR="002D2A9A">
              <w:rPr>
                <w:rFonts w:ascii="David" w:hAnsi="David"/>
                <w:sz w:val="24"/>
              </w:rPr>
              <w:t xml:space="preserve"> </w:t>
            </w:r>
            <w:r>
              <w:br/>
            </w:r>
          </w:p>
        </w:tc>
      </w:tr>
      <w:tr w:rsidR="0032032C" w14:paraId="3904156C" w14:textId="77777777" w:rsidTr="0046199F">
        <w:trPr>
          <w:cantSplit/>
        </w:trPr>
        <w:tc>
          <w:tcPr>
            <w:tcW w:w="916" w:type="pct"/>
          </w:tcPr>
          <w:p w14:paraId="44902843" w14:textId="77777777" w:rsidR="0032032C" w:rsidRDefault="0032032C">
            <w:pPr>
              <w:spacing w:before="100" w:beforeAutospacing="1" w:after="100" w:afterAutospacing="1" w:line="276" w:lineRule="auto"/>
              <w:rPr>
                <w:rFonts w:ascii="David" w:hAnsi="David"/>
                <w:sz w:val="24"/>
                <w:rtl/>
              </w:rPr>
            </w:pPr>
          </w:p>
        </w:tc>
        <w:tc>
          <w:tcPr>
            <w:tcW w:w="845" w:type="pct"/>
          </w:tcPr>
          <w:p w14:paraId="69655F37" w14:textId="77777777" w:rsidR="0032032C" w:rsidRDefault="0032032C">
            <w:pPr>
              <w:spacing w:before="100" w:beforeAutospacing="1" w:after="100" w:afterAutospacing="1"/>
              <w:rPr>
                <w:rFonts w:ascii="David" w:hAnsi="David"/>
                <w:sz w:val="24"/>
              </w:rPr>
            </w:pPr>
          </w:p>
        </w:tc>
        <w:tc>
          <w:tcPr>
            <w:tcW w:w="352" w:type="pct"/>
          </w:tcPr>
          <w:p w14:paraId="7102A8C1" w14:textId="77777777" w:rsidR="0032032C" w:rsidRDefault="003136D2">
            <w:pPr>
              <w:spacing w:before="100" w:beforeAutospacing="1" w:after="100" w:afterAutospacing="1"/>
              <w:rPr>
                <w:rFonts w:ascii="David" w:hAnsi="David"/>
                <w:sz w:val="24"/>
              </w:rPr>
            </w:pPr>
            <w:r>
              <w:rPr>
                <w:rFonts w:ascii="David" w:hAnsi="David"/>
                <w:sz w:val="24"/>
                <w:rtl/>
              </w:rPr>
              <w:t>2</w:t>
            </w:r>
          </w:p>
        </w:tc>
        <w:tc>
          <w:tcPr>
            <w:tcW w:w="2887" w:type="pct"/>
          </w:tcPr>
          <w:p w14:paraId="0E10E3E9" w14:textId="07099315" w:rsidR="0032032C" w:rsidRDefault="003136D2">
            <w:pPr>
              <w:spacing w:before="100" w:beforeAutospacing="1" w:after="100" w:afterAutospacing="1" w:line="276" w:lineRule="auto"/>
              <w:rPr>
                <w:rFonts w:ascii="David" w:hAnsi="David"/>
                <w:sz w:val="24"/>
                <w:rtl/>
              </w:rPr>
            </w:pPr>
            <w:r>
              <w:rPr>
                <w:rFonts w:ascii="David" w:hAnsi="David"/>
                <w:sz w:val="24"/>
                <w:rtl/>
              </w:rPr>
              <w:t>שושן מרים מרלן</w:t>
            </w:r>
            <w:r>
              <w:br/>
            </w:r>
          </w:p>
        </w:tc>
      </w:tr>
      <w:tr w:rsidR="0032032C" w14:paraId="6F97BC38" w14:textId="77777777" w:rsidTr="0046199F">
        <w:trPr>
          <w:cantSplit/>
        </w:trPr>
        <w:tc>
          <w:tcPr>
            <w:tcW w:w="916" w:type="pct"/>
          </w:tcPr>
          <w:p w14:paraId="6CB6976A" w14:textId="77777777" w:rsidR="0032032C" w:rsidRDefault="0032032C">
            <w:pPr>
              <w:spacing w:before="100" w:beforeAutospacing="1" w:after="100" w:afterAutospacing="1" w:line="276" w:lineRule="auto"/>
              <w:rPr>
                <w:rFonts w:ascii="David" w:hAnsi="David"/>
                <w:sz w:val="24"/>
                <w:rtl/>
              </w:rPr>
            </w:pPr>
          </w:p>
        </w:tc>
        <w:tc>
          <w:tcPr>
            <w:tcW w:w="845" w:type="pct"/>
          </w:tcPr>
          <w:p w14:paraId="33DBACC7" w14:textId="77777777" w:rsidR="0032032C" w:rsidRDefault="0032032C">
            <w:pPr>
              <w:spacing w:before="100" w:beforeAutospacing="1" w:after="100" w:afterAutospacing="1"/>
              <w:rPr>
                <w:rFonts w:ascii="David" w:hAnsi="David"/>
                <w:sz w:val="24"/>
              </w:rPr>
            </w:pPr>
          </w:p>
        </w:tc>
        <w:tc>
          <w:tcPr>
            <w:tcW w:w="352" w:type="pct"/>
          </w:tcPr>
          <w:p w14:paraId="0D801E18" w14:textId="77777777" w:rsidR="0032032C" w:rsidRDefault="003136D2">
            <w:pPr>
              <w:spacing w:before="100" w:beforeAutospacing="1" w:after="100" w:afterAutospacing="1"/>
              <w:rPr>
                <w:rFonts w:ascii="David" w:hAnsi="David"/>
                <w:sz w:val="24"/>
              </w:rPr>
            </w:pPr>
            <w:r>
              <w:rPr>
                <w:rFonts w:ascii="David" w:hAnsi="David"/>
                <w:sz w:val="24"/>
                <w:rtl/>
              </w:rPr>
              <w:t>3</w:t>
            </w:r>
          </w:p>
        </w:tc>
        <w:tc>
          <w:tcPr>
            <w:tcW w:w="2887" w:type="pct"/>
          </w:tcPr>
          <w:p w14:paraId="070F435B" w14:textId="7F485971" w:rsidR="0032032C" w:rsidRDefault="003136D2">
            <w:pPr>
              <w:spacing w:before="100" w:beforeAutospacing="1" w:after="100" w:afterAutospacing="1" w:line="276" w:lineRule="auto"/>
              <w:rPr>
                <w:rFonts w:ascii="David" w:hAnsi="David"/>
                <w:sz w:val="24"/>
                <w:rtl/>
              </w:rPr>
            </w:pPr>
            <w:r>
              <w:rPr>
                <w:rFonts w:ascii="David" w:hAnsi="David"/>
                <w:sz w:val="24"/>
              </w:rPr>
              <w:t>ג'ינו אלברט דנה</w:t>
            </w:r>
            <w:r>
              <w:br/>
            </w:r>
          </w:p>
        </w:tc>
      </w:tr>
      <w:tr w:rsidR="0032032C" w14:paraId="413A29E8" w14:textId="77777777" w:rsidTr="0046199F">
        <w:trPr>
          <w:cantSplit/>
        </w:trPr>
        <w:tc>
          <w:tcPr>
            <w:tcW w:w="916" w:type="pct"/>
          </w:tcPr>
          <w:p w14:paraId="2B1C9918" w14:textId="77777777" w:rsidR="0032032C" w:rsidRDefault="0032032C">
            <w:pPr>
              <w:spacing w:before="100" w:beforeAutospacing="1" w:after="100" w:afterAutospacing="1" w:line="276" w:lineRule="auto"/>
              <w:rPr>
                <w:rFonts w:ascii="David" w:hAnsi="David"/>
                <w:sz w:val="24"/>
                <w:rtl/>
              </w:rPr>
            </w:pPr>
          </w:p>
        </w:tc>
        <w:tc>
          <w:tcPr>
            <w:tcW w:w="845" w:type="pct"/>
          </w:tcPr>
          <w:p w14:paraId="032A052A" w14:textId="77777777" w:rsidR="0032032C" w:rsidRDefault="0032032C">
            <w:pPr>
              <w:spacing w:before="100" w:beforeAutospacing="1" w:after="100" w:afterAutospacing="1"/>
              <w:rPr>
                <w:rFonts w:ascii="David" w:hAnsi="David"/>
                <w:sz w:val="24"/>
              </w:rPr>
            </w:pPr>
          </w:p>
        </w:tc>
        <w:tc>
          <w:tcPr>
            <w:tcW w:w="352" w:type="pct"/>
          </w:tcPr>
          <w:p w14:paraId="7E14CEC2" w14:textId="77777777" w:rsidR="0032032C" w:rsidRDefault="003136D2">
            <w:pPr>
              <w:spacing w:before="100" w:beforeAutospacing="1" w:after="100" w:afterAutospacing="1"/>
              <w:rPr>
                <w:rFonts w:ascii="David" w:hAnsi="David"/>
                <w:sz w:val="24"/>
              </w:rPr>
            </w:pPr>
            <w:r>
              <w:rPr>
                <w:rFonts w:ascii="David" w:hAnsi="David"/>
                <w:sz w:val="24"/>
                <w:rtl/>
              </w:rPr>
              <w:t>4</w:t>
            </w:r>
          </w:p>
        </w:tc>
        <w:tc>
          <w:tcPr>
            <w:tcW w:w="2887" w:type="pct"/>
          </w:tcPr>
          <w:p w14:paraId="7F4CD2A6" w14:textId="07DDF691" w:rsidR="0032032C" w:rsidRDefault="003136D2">
            <w:pPr>
              <w:spacing w:before="100" w:beforeAutospacing="1" w:after="100" w:afterAutospacing="1" w:line="276" w:lineRule="auto"/>
              <w:rPr>
                <w:rFonts w:ascii="David" w:hAnsi="David"/>
                <w:sz w:val="24"/>
                <w:rtl/>
              </w:rPr>
            </w:pPr>
            <w:r>
              <w:rPr>
                <w:rFonts w:ascii="David" w:hAnsi="David"/>
                <w:sz w:val="24"/>
                <w:rtl/>
              </w:rPr>
              <w:t>אלטיט אנדרה ויקטור</w:t>
            </w:r>
            <w:r>
              <w:br/>
            </w:r>
          </w:p>
        </w:tc>
      </w:tr>
      <w:tr w:rsidR="0032032C" w14:paraId="7DC45B41" w14:textId="77777777" w:rsidTr="0046199F">
        <w:trPr>
          <w:cantSplit/>
        </w:trPr>
        <w:tc>
          <w:tcPr>
            <w:tcW w:w="916" w:type="pct"/>
          </w:tcPr>
          <w:p w14:paraId="6F669001" w14:textId="77777777" w:rsidR="0032032C" w:rsidRDefault="0032032C">
            <w:pPr>
              <w:spacing w:before="100" w:beforeAutospacing="1" w:after="100" w:afterAutospacing="1" w:line="276" w:lineRule="auto"/>
              <w:rPr>
                <w:rFonts w:ascii="David" w:hAnsi="David"/>
                <w:sz w:val="24"/>
                <w:rtl/>
              </w:rPr>
            </w:pPr>
          </w:p>
        </w:tc>
        <w:tc>
          <w:tcPr>
            <w:tcW w:w="845" w:type="pct"/>
          </w:tcPr>
          <w:p w14:paraId="4CAF77B0" w14:textId="77777777" w:rsidR="0032032C" w:rsidRDefault="0032032C">
            <w:pPr>
              <w:spacing w:before="100" w:beforeAutospacing="1" w:after="100" w:afterAutospacing="1"/>
              <w:rPr>
                <w:rFonts w:ascii="David" w:hAnsi="David"/>
                <w:sz w:val="24"/>
              </w:rPr>
            </w:pPr>
          </w:p>
        </w:tc>
        <w:tc>
          <w:tcPr>
            <w:tcW w:w="352" w:type="pct"/>
          </w:tcPr>
          <w:p w14:paraId="028F8890" w14:textId="77777777" w:rsidR="0032032C" w:rsidRDefault="003136D2">
            <w:pPr>
              <w:spacing w:before="100" w:beforeAutospacing="1" w:after="100" w:afterAutospacing="1"/>
              <w:rPr>
                <w:rFonts w:ascii="David" w:hAnsi="David"/>
                <w:sz w:val="24"/>
              </w:rPr>
            </w:pPr>
            <w:r>
              <w:rPr>
                <w:rFonts w:ascii="David" w:hAnsi="David"/>
                <w:sz w:val="24"/>
                <w:rtl/>
              </w:rPr>
              <w:t>5</w:t>
            </w:r>
          </w:p>
        </w:tc>
        <w:tc>
          <w:tcPr>
            <w:tcW w:w="2887" w:type="pct"/>
          </w:tcPr>
          <w:p w14:paraId="5776A5D2" w14:textId="58F75D33" w:rsidR="0032032C" w:rsidRDefault="003136D2">
            <w:pPr>
              <w:spacing w:before="100" w:beforeAutospacing="1" w:after="100" w:afterAutospacing="1" w:line="276" w:lineRule="auto"/>
              <w:rPr>
                <w:rFonts w:ascii="David" w:hAnsi="David"/>
                <w:sz w:val="24"/>
                <w:rtl/>
              </w:rPr>
            </w:pPr>
            <w:r>
              <w:rPr>
                <w:rFonts w:ascii="David" w:hAnsi="David"/>
                <w:sz w:val="24"/>
                <w:rtl/>
              </w:rPr>
              <w:t>טל יעל לורנס</w:t>
            </w:r>
            <w:r>
              <w:br/>
            </w:r>
          </w:p>
        </w:tc>
      </w:tr>
      <w:tr w:rsidR="0032032C" w14:paraId="63E05EAC" w14:textId="77777777" w:rsidTr="0046199F">
        <w:trPr>
          <w:cantSplit/>
        </w:trPr>
        <w:tc>
          <w:tcPr>
            <w:tcW w:w="916" w:type="pct"/>
          </w:tcPr>
          <w:p w14:paraId="70EDC804" w14:textId="77777777" w:rsidR="0032032C" w:rsidRDefault="0032032C">
            <w:pPr>
              <w:spacing w:before="100" w:beforeAutospacing="1" w:after="100" w:afterAutospacing="1" w:line="276" w:lineRule="auto"/>
              <w:rPr>
                <w:rFonts w:ascii="David" w:hAnsi="David"/>
                <w:sz w:val="24"/>
                <w:rtl/>
              </w:rPr>
            </w:pPr>
          </w:p>
        </w:tc>
        <w:tc>
          <w:tcPr>
            <w:tcW w:w="845" w:type="pct"/>
          </w:tcPr>
          <w:p w14:paraId="6D1F47F2" w14:textId="77777777" w:rsidR="0032032C" w:rsidRDefault="0032032C">
            <w:pPr>
              <w:spacing w:before="100" w:beforeAutospacing="1" w:after="100" w:afterAutospacing="1"/>
              <w:rPr>
                <w:rFonts w:ascii="David" w:hAnsi="David"/>
                <w:sz w:val="24"/>
              </w:rPr>
            </w:pPr>
          </w:p>
        </w:tc>
        <w:tc>
          <w:tcPr>
            <w:tcW w:w="352" w:type="pct"/>
          </w:tcPr>
          <w:p w14:paraId="641810EA" w14:textId="77777777" w:rsidR="0032032C" w:rsidRDefault="0032032C">
            <w:pPr>
              <w:spacing w:before="100" w:beforeAutospacing="1" w:after="100" w:afterAutospacing="1"/>
              <w:rPr>
                <w:rFonts w:ascii="David" w:hAnsi="David"/>
                <w:sz w:val="24"/>
              </w:rPr>
            </w:pPr>
          </w:p>
        </w:tc>
        <w:tc>
          <w:tcPr>
            <w:tcW w:w="2887" w:type="pct"/>
          </w:tcPr>
          <w:p w14:paraId="0A4DC08C" w14:textId="77777777" w:rsidR="0032032C" w:rsidRDefault="003136D2">
            <w:pPr>
              <w:spacing w:before="100" w:beforeAutospacing="1" w:after="100" w:afterAutospacing="1" w:line="276" w:lineRule="auto"/>
              <w:rPr>
                <w:rFonts w:ascii="David" w:hAnsi="David"/>
                <w:sz w:val="24"/>
                <w:rtl/>
              </w:rPr>
            </w:pPr>
            <w:r>
              <w:rPr>
                <w:rFonts w:ascii="David" w:hAnsi="David"/>
                <w:sz w:val="24"/>
                <w:rtl/>
              </w:rPr>
              <w:t>באמצעות ב"כ: עו"ד ליזרוביץ טל</w:t>
            </w:r>
            <w:r>
              <w:br/>
            </w:r>
            <w:r>
              <w:rPr>
                <w:rFonts w:ascii="David" w:hAnsi="David"/>
                <w:sz w:val="24"/>
                <w:rtl/>
              </w:rPr>
              <w:t>אילות 3, אילת</w:t>
            </w:r>
            <w:r>
              <w:br/>
            </w:r>
            <w:r>
              <w:rPr>
                <w:rFonts w:ascii="David" w:hAnsi="David"/>
                <w:sz w:val="24"/>
                <w:rtl/>
              </w:rPr>
              <w:t>טל':0544616617 פקס:086326675</w:t>
            </w:r>
            <w:r>
              <w:br/>
            </w:r>
          </w:p>
        </w:tc>
      </w:tr>
      <w:tr w:rsidR="0032032C" w14:paraId="5E23830B" w14:textId="77777777" w:rsidTr="0046199F">
        <w:trPr>
          <w:cantSplit/>
        </w:trPr>
        <w:tc>
          <w:tcPr>
            <w:tcW w:w="916" w:type="pct"/>
          </w:tcPr>
          <w:p w14:paraId="319CE5F2" w14:textId="77777777" w:rsidR="0032032C" w:rsidRDefault="0032032C">
            <w:pPr>
              <w:spacing w:before="100" w:beforeAutospacing="1" w:after="100" w:afterAutospacing="1" w:line="276" w:lineRule="auto"/>
              <w:rPr>
                <w:rFonts w:ascii="David" w:hAnsi="David"/>
                <w:sz w:val="24"/>
                <w:rtl/>
              </w:rPr>
            </w:pPr>
          </w:p>
        </w:tc>
        <w:tc>
          <w:tcPr>
            <w:tcW w:w="845" w:type="pct"/>
          </w:tcPr>
          <w:p w14:paraId="6B2E393F" w14:textId="77777777" w:rsidR="0032032C" w:rsidRDefault="0032032C">
            <w:pPr>
              <w:spacing w:before="100" w:beforeAutospacing="1" w:after="100" w:afterAutospacing="1"/>
              <w:rPr>
                <w:rFonts w:ascii="David" w:hAnsi="David"/>
                <w:sz w:val="24"/>
              </w:rPr>
            </w:pPr>
          </w:p>
        </w:tc>
        <w:tc>
          <w:tcPr>
            <w:tcW w:w="352" w:type="pct"/>
          </w:tcPr>
          <w:p w14:paraId="675718E6" w14:textId="77777777" w:rsidR="0032032C" w:rsidRDefault="003136D2">
            <w:pPr>
              <w:spacing w:before="100" w:beforeAutospacing="1" w:after="100" w:afterAutospacing="1"/>
              <w:rPr>
                <w:rFonts w:ascii="David" w:hAnsi="David"/>
                <w:sz w:val="24"/>
              </w:rPr>
            </w:pPr>
            <w:r>
              <w:rPr>
                <w:rFonts w:ascii="David" w:hAnsi="David"/>
                <w:b/>
                <w:bCs/>
                <w:sz w:val="24"/>
                <w:rtl/>
              </w:rPr>
              <w:t>נגד</w:t>
            </w:r>
            <w:r>
              <w:br/>
            </w:r>
          </w:p>
        </w:tc>
        <w:tc>
          <w:tcPr>
            <w:tcW w:w="2887" w:type="pct"/>
          </w:tcPr>
          <w:p w14:paraId="136328DE" w14:textId="77777777" w:rsidR="0032032C" w:rsidRDefault="0032032C">
            <w:pPr>
              <w:spacing w:before="100" w:beforeAutospacing="1" w:after="100" w:afterAutospacing="1" w:line="276" w:lineRule="auto"/>
              <w:rPr>
                <w:rFonts w:ascii="David" w:hAnsi="David"/>
                <w:sz w:val="24"/>
                <w:rtl/>
              </w:rPr>
            </w:pPr>
          </w:p>
        </w:tc>
      </w:tr>
      <w:tr w:rsidR="0032032C" w14:paraId="53A823DA" w14:textId="77777777" w:rsidTr="0046199F">
        <w:trPr>
          <w:cantSplit/>
        </w:trPr>
        <w:tc>
          <w:tcPr>
            <w:tcW w:w="916" w:type="pct"/>
          </w:tcPr>
          <w:p w14:paraId="13673842" w14:textId="77777777" w:rsidR="0032032C" w:rsidRDefault="003136D2">
            <w:pPr>
              <w:spacing w:before="100" w:beforeAutospacing="1" w:after="100" w:afterAutospacing="1" w:line="276" w:lineRule="auto"/>
              <w:rPr>
                <w:rFonts w:ascii="David" w:hAnsi="David"/>
                <w:sz w:val="24"/>
                <w:rtl/>
              </w:rPr>
            </w:pPr>
            <w:r>
              <w:rPr>
                <w:rFonts w:ascii="David" w:hAnsi="David"/>
                <w:sz w:val="24"/>
                <w:rtl/>
              </w:rPr>
              <w:t>משיבים</w:t>
            </w:r>
          </w:p>
        </w:tc>
        <w:tc>
          <w:tcPr>
            <w:tcW w:w="845" w:type="pct"/>
          </w:tcPr>
          <w:p w14:paraId="79E5E7BB" w14:textId="77777777" w:rsidR="0032032C" w:rsidRDefault="0032032C">
            <w:pPr>
              <w:spacing w:before="100" w:beforeAutospacing="1" w:after="100" w:afterAutospacing="1"/>
              <w:rPr>
                <w:rFonts w:ascii="David" w:hAnsi="David"/>
                <w:sz w:val="24"/>
              </w:rPr>
            </w:pPr>
          </w:p>
        </w:tc>
        <w:tc>
          <w:tcPr>
            <w:tcW w:w="352" w:type="pct"/>
          </w:tcPr>
          <w:p w14:paraId="03F7F423" w14:textId="77777777" w:rsidR="0032032C" w:rsidRDefault="003136D2">
            <w:pPr>
              <w:spacing w:before="100" w:beforeAutospacing="1" w:after="100" w:afterAutospacing="1"/>
              <w:rPr>
                <w:rFonts w:ascii="David" w:hAnsi="David"/>
                <w:sz w:val="24"/>
              </w:rPr>
            </w:pPr>
            <w:r>
              <w:rPr>
                <w:rFonts w:ascii="David" w:hAnsi="David"/>
                <w:sz w:val="24"/>
                <w:rtl/>
              </w:rPr>
              <w:t>1</w:t>
            </w:r>
          </w:p>
        </w:tc>
        <w:tc>
          <w:tcPr>
            <w:tcW w:w="2887" w:type="pct"/>
          </w:tcPr>
          <w:p w14:paraId="5A5D984A" w14:textId="77777777" w:rsidR="0032032C" w:rsidRDefault="003136D2">
            <w:pPr>
              <w:spacing w:before="100" w:beforeAutospacing="1" w:after="100" w:afterAutospacing="1" w:line="276" w:lineRule="auto"/>
              <w:rPr>
                <w:rFonts w:ascii="David" w:hAnsi="David"/>
                <w:sz w:val="24"/>
                <w:rtl/>
              </w:rPr>
            </w:pPr>
            <w:r>
              <w:rPr>
                <w:rFonts w:ascii="David" w:hAnsi="David"/>
                <w:sz w:val="24"/>
                <w:rtl/>
              </w:rPr>
              <w:t>נציגות ועד הבית בגוש 40137 חלקה 1</w:t>
            </w:r>
            <w:r>
              <w:br/>
            </w:r>
          </w:p>
        </w:tc>
      </w:tr>
      <w:tr w:rsidR="0032032C" w14:paraId="12B8875C" w14:textId="77777777" w:rsidTr="0046199F">
        <w:trPr>
          <w:cantSplit/>
        </w:trPr>
        <w:tc>
          <w:tcPr>
            <w:tcW w:w="916" w:type="pct"/>
          </w:tcPr>
          <w:p w14:paraId="74743B48" w14:textId="77777777" w:rsidR="0032032C" w:rsidRDefault="0032032C">
            <w:pPr>
              <w:spacing w:before="100" w:beforeAutospacing="1" w:after="100" w:afterAutospacing="1" w:line="276" w:lineRule="auto"/>
              <w:rPr>
                <w:rFonts w:ascii="David" w:hAnsi="David"/>
                <w:sz w:val="24"/>
                <w:rtl/>
              </w:rPr>
            </w:pPr>
          </w:p>
        </w:tc>
        <w:tc>
          <w:tcPr>
            <w:tcW w:w="845" w:type="pct"/>
          </w:tcPr>
          <w:p w14:paraId="2A13383C" w14:textId="77777777" w:rsidR="0032032C" w:rsidRDefault="0032032C">
            <w:pPr>
              <w:spacing w:before="100" w:beforeAutospacing="1" w:after="100" w:afterAutospacing="1"/>
              <w:rPr>
                <w:rFonts w:ascii="David" w:hAnsi="David"/>
                <w:sz w:val="24"/>
              </w:rPr>
            </w:pPr>
          </w:p>
        </w:tc>
        <w:tc>
          <w:tcPr>
            <w:tcW w:w="352" w:type="pct"/>
          </w:tcPr>
          <w:p w14:paraId="3E613209" w14:textId="77777777" w:rsidR="0032032C" w:rsidRDefault="003136D2">
            <w:pPr>
              <w:spacing w:before="100" w:beforeAutospacing="1" w:after="100" w:afterAutospacing="1"/>
              <w:rPr>
                <w:rFonts w:ascii="David" w:hAnsi="David"/>
                <w:sz w:val="24"/>
              </w:rPr>
            </w:pPr>
            <w:r>
              <w:rPr>
                <w:rFonts w:ascii="David" w:hAnsi="David"/>
                <w:sz w:val="24"/>
                <w:rtl/>
              </w:rPr>
              <w:t>2</w:t>
            </w:r>
          </w:p>
        </w:tc>
        <w:tc>
          <w:tcPr>
            <w:tcW w:w="2887" w:type="pct"/>
          </w:tcPr>
          <w:p w14:paraId="31C94DC0" w14:textId="6BB976B0" w:rsidR="0032032C" w:rsidRDefault="003136D2">
            <w:pPr>
              <w:spacing w:before="100" w:beforeAutospacing="1" w:after="100" w:afterAutospacing="1" w:line="276" w:lineRule="auto"/>
              <w:rPr>
                <w:rFonts w:ascii="David" w:hAnsi="David"/>
                <w:sz w:val="24"/>
                <w:rtl/>
              </w:rPr>
            </w:pPr>
            <w:r>
              <w:rPr>
                <w:rFonts w:ascii="David" w:hAnsi="David"/>
                <w:sz w:val="24"/>
                <w:rtl/>
              </w:rPr>
              <w:t>אשכנזי יובל</w:t>
            </w:r>
            <w:r>
              <w:br/>
            </w:r>
          </w:p>
        </w:tc>
      </w:tr>
      <w:tr w:rsidR="0032032C" w14:paraId="44120051" w14:textId="77777777" w:rsidTr="0046199F">
        <w:trPr>
          <w:cantSplit/>
        </w:trPr>
        <w:tc>
          <w:tcPr>
            <w:tcW w:w="916" w:type="pct"/>
          </w:tcPr>
          <w:p w14:paraId="4C2D8846" w14:textId="77777777" w:rsidR="0032032C" w:rsidRDefault="0032032C">
            <w:pPr>
              <w:spacing w:before="100" w:beforeAutospacing="1" w:after="100" w:afterAutospacing="1" w:line="276" w:lineRule="auto"/>
              <w:rPr>
                <w:rFonts w:ascii="David" w:hAnsi="David"/>
                <w:sz w:val="24"/>
                <w:rtl/>
              </w:rPr>
            </w:pPr>
          </w:p>
        </w:tc>
        <w:tc>
          <w:tcPr>
            <w:tcW w:w="845" w:type="pct"/>
          </w:tcPr>
          <w:p w14:paraId="09D1B395" w14:textId="77777777" w:rsidR="0032032C" w:rsidRDefault="0032032C">
            <w:pPr>
              <w:spacing w:before="100" w:beforeAutospacing="1" w:after="100" w:afterAutospacing="1"/>
              <w:rPr>
                <w:rFonts w:ascii="David" w:hAnsi="David"/>
                <w:sz w:val="24"/>
              </w:rPr>
            </w:pPr>
          </w:p>
        </w:tc>
        <w:tc>
          <w:tcPr>
            <w:tcW w:w="352" w:type="pct"/>
          </w:tcPr>
          <w:p w14:paraId="4CE31FEA" w14:textId="77777777" w:rsidR="0032032C" w:rsidRDefault="003136D2">
            <w:pPr>
              <w:spacing w:before="100" w:beforeAutospacing="1" w:after="100" w:afterAutospacing="1"/>
              <w:rPr>
                <w:rFonts w:ascii="David" w:hAnsi="David"/>
                <w:sz w:val="24"/>
              </w:rPr>
            </w:pPr>
            <w:r>
              <w:rPr>
                <w:rFonts w:ascii="David" w:hAnsi="David"/>
                <w:sz w:val="24"/>
                <w:rtl/>
              </w:rPr>
              <w:t>3</w:t>
            </w:r>
          </w:p>
        </w:tc>
        <w:tc>
          <w:tcPr>
            <w:tcW w:w="2887" w:type="pct"/>
          </w:tcPr>
          <w:p w14:paraId="404C241B" w14:textId="516B268B" w:rsidR="0032032C" w:rsidRDefault="003136D2">
            <w:pPr>
              <w:spacing w:before="100" w:beforeAutospacing="1" w:after="100" w:afterAutospacing="1" w:line="276" w:lineRule="auto"/>
              <w:rPr>
                <w:rFonts w:ascii="David" w:hAnsi="David"/>
                <w:sz w:val="24"/>
                <w:rtl/>
              </w:rPr>
            </w:pPr>
            <w:r>
              <w:rPr>
                <w:rFonts w:ascii="David" w:hAnsi="David"/>
                <w:sz w:val="24"/>
                <w:rtl/>
              </w:rPr>
              <w:t>חיקין אנאטולי</w:t>
            </w:r>
            <w:r>
              <w:br/>
            </w:r>
          </w:p>
        </w:tc>
      </w:tr>
      <w:tr w:rsidR="0032032C" w14:paraId="176F0A93" w14:textId="77777777" w:rsidTr="0046199F">
        <w:trPr>
          <w:cantSplit/>
        </w:trPr>
        <w:tc>
          <w:tcPr>
            <w:tcW w:w="916" w:type="pct"/>
          </w:tcPr>
          <w:p w14:paraId="01A2FB78" w14:textId="77777777" w:rsidR="0032032C" w:rsidRDefault="0032032C">
            <w:pPr>
              <w:spacing w:before="100" w:beforeAutospacing="1" w:after="100" w:afterAutospacing="1" w:line="276" w:lineRule="auto"/>
              <w:rPr>
                <w:rFonts w:ascii="David" w:hAnsi="David"/>
                <w:sz w:val="24"/>
                <w:rtl/>
              </w:rPr>
            </w:pPr>
          </w:p>
        </w:tc>
        <w:tc>
          <w:tcPr>
            <w:tcW w:w="845" w:type="pct"/>
          </w:tcPr>
          <w:p w14:paraId="6495EE7A" w14:textId="77777777" w:rsidR="0032032C" w:rsidRDefault="0032032C">
            <w:pPr>
              <w:spacing w:before="100" w:beforeAutospacing="1" w:after="100" w:afterAutospacing="1"/>
              <w:rPr>
                <w:rFonts w:ascii="David" w:hAnsi="David"/>
                <w:sz w:val="24"/>
              </w:rPr>
            </w:pPr>
          </w:p>
        </w:tc>
        <w:tc>
          <w:tcPr>
            <w:tcW w:w="352" w:type="pct"/>
          </w:tcPr>
          <w:p w14:paraId="66EAADE3" w14:textId="77777777" w:rsidR="0032032C" w:rsidRDefault="003136D2">
            <w:pPr>
              <w:spacing w:before="100" w:beforeAutospacing="1" w:after="100" w:afterAutospacing="1"/>
              <w:rPr>
                <w:rFonts w:ascii="David" w:hAnsi="David"/>
                <w:sz w:val="24"/>
              </w:rPr>
            </w:pPr>
            <w:r>
              <w:rPr>
                <w:rFonts w:ascii="David" w:hAnsi="David"/>
                <w:sz w:val="24"/>
                <w:rtl/>
              </w:rPr>
              <w:t>4</w:t>
            </w:r>
          </w:p>
        </w:tc>
        <w:tc>
          <w:tcPr>
            <w:tcW w:w="2887" w:type="pct"/>
          </w:tcPr>
          <w:p w14:paraId="541DD486" w14:textId="1E035E5B" w:rsidR="0032032C" w:rsidRDefault="003136D2">
            <w:pPr>
              <w:spacing w:before="100" w:beforeAutospacing="1" w:after="100" w:afterAutospacing="1" w:line="276" w:lineRule="auto"/>
              <w:rPr>
                <w:rFonts w:ascii="David" w:hAnsi="David"/>
                <w:sz w:val="24"/>
                <w:rtl/>
              </w:rPr>
            </w:pPr>
            <w:r>
              <w:rPr>
                <w:rFonts w:ascii="David" w:hAnsi="David"/>
                <w:sz w:val="24"/>
                <w:rtl/>
              </w:rPr>
              <w:t>מויאל שי</w:t>
            </w:r>
            <w:r>
              <w:br/>
            </w:r>
          </w:p>
        </w:tc>
      </w:tr>
      <w:tr w:rsidR="0032032C" w14:paraId="6CCEEAF8" w14:textId="77777777" w:rsidTr="0046199F">
        <w:trPr>
          <w:cantSplit/>
        </w:trPr>
        <w:tc>
          <w:tcPr>
            <w:tcW w:w="916" w:type="pct"/>
          </w:tcPr>
          <w:p w14:paraId="19F5607A" w14:textId="77777777" w:rsidR="0032032C" w:rsidRDefault="0032032C">
            <w:pPr>
              <w:spacing w:before="100" w:beforeAutospacing="1" w:after="100" w:afterAutospacing="1" w:line="276" w:lineRule="auto"/>
              <w:rPr>
                <w:rFonts w:ascii="David" w:hAnsi="David"/>
                <w:sz w:val="24"/>
                <w:rtl/>
              </w:rPr>
            </w:pPr>
          </w:p>
        </w:tc>
        <w:tc>
          <w:tcPr>
            <w:tcW w:w="845" w:type="pct"/>
          </w:tcPr>
          <w:p w14:paraId="7582EF33" w14:textId="77777777" w:rsidR="0032032C" w:rsidRDefault="0032032C">
            <w:pPr>
              <w:spacing w:before="100" w:beforeAutospacing="1" w:after="100" w:afterAutospacing="1"/>
              <w:rPr>
                <w:rFonts w:ascii="David" w:hAnsi="David"/>
                <w:sz w:val="24"/>
              </w:rPr>
            </w:pPr>
          </w:p>
        </w:tc>
        <w:tc>
          <w:tcPr>
            <w:tcW w:w="352" w:type="pct"/>
          </w:tcPr>
          <w:p w14:paraId="3B1F7149" w14:textId="77777777" w:rsidR="0032032C" w:rsidRDefault="003136D2">
            <w:pPr>
              <w:spacing w:before="100" w:beforeAutospacing="1" w:after="100" w:afterAutospacing="1"/>
              <w:rPr>
                <w:rFonts w:ascii="David" w:hAnsi="David"/>
                <w:sz w:val="24"/>
              </w:rPr>
            </w:pPr>
            <w:r>
              <w:rPr>
                <w:rFonts w:ascii="David" w:hAnsi="David"/>
                <w:sz w:val="24"/>
                <w:rtl/>
              </w:rPr>
              <w:t>5</w:t>
            </w:r>
          </w:p>
        </w:tc>
        <w:tc>
          <w:tcPr>
            <w:tcW w:w="2887" w:type="pct"/>
          </w:tcPr>
          <w:p w14:paraId="4049DDCD" w14:textId="15188402" w:rsidR="0032032C" w:rsidRDefault="003136D2">
            <w:pPr>
              <w:spacing w:before="100" w:beforeAutospacing="1" w:after="100" w:afterAutospacing="1" w:line="276" w:lineRule="auto"/>
              <w:rPr>
                <w:rFonts w:ascii="David" w:hAnsi="David"/>
                <w:sz w:val="24"/>
                <w:rtl/>
              </w:rPr>
            </w:pPr>
            <w:r>
              <w:rPr>
                <w:rFonts w:ascii="David" w:hAnsi="David"/>
                <w:sz w:val="24"/>
                <w:rtl/>
              </w:rPr>
              <w:t>מויאל רונית</w:t>
            </w:r>
            <w:r>
              <w:br/>
            </w:r>
          </w:p>
        </w:tc>
      </w:tr>
      <w:tr w:rsidR="0032032C" w14:paraId="0114ADB8" w14:textId="77777777" w:rsidTr="0046199F">
        <w:trPr>
          <w:cantSplit/>
        </w:trPr>
        <w:tc>
          <w:tcPr>
            <w:tcW w:w="916" w:type="pct"/>
          </w:tcPr>
          <w:p w14:paraId="591922B4" w14:textId="77777777" w:rsidR="0032032C" w:rsidRDefault="0032032C">
            <w:pPr>
              <w:spacing w:before="100" w:beforeAutospacing="1" w:after="100" w:afterAutospacing="1" w:line="276" w:lineRule="auto"/>
              <w:rPr>
                <w:rFonts w:ascii="David" w:hAnsi="David"/>
                <w:sz w:val="24"/>
                <w:rtl/>
              </w:rPr>
            </w:pPr>
          </w:p>
        </w:tc>
        <w:tc>
          <w:tcPr>
            <w:tcW w:w="845" w:type="pct"/>
          </w:tcPr>
          <w:p w14:paraId="345541E9" w14:textId="77777777" w:rsidR="0032032C" w:rsidRDefault="0032032C">
            <w:pPr>
              <w:spacing w:before="100" w:beforeAutospacing="1" w:after="100" w:afterAutospacing="1"/>
              <w:rPr>
                <w:rFonts w:ascii="David" w:hAnsi="David"/>
                <w:sz w:val="24"/>
              </w:rPr>
            </w:pPr>
          </w:p>
        </w:tc>
        <w:tc>
          <w:tcPr>
            <w:tcW w:w="352" w:type="pct"/>
          </w:tcPr>
          <w:p w14:paraId="45CE5E69" w14:textId="77777777" w:rsidR="0032032C" w:rsidRDefault="0032032C">
            <w:pPr>
              <w:spacing w:before="100" w:beforeAutospacing="1" w:after="100" w:afterAutospacing="1"/>
              <w:rPr>
                <w:rFonts w:ascii="David" w:hAnsi="David"/>
                <w:sz w:val="24"/>
              </w:rPr>
            </w:pPr>
          </w:p>
        </w:tc>
        <w:tc>
          <w:tcPr>
            <w:tcW w:w="2887" w:type="pct"/>
          </w:tcPr>
          <w:p w14:paraId="1908C906" w14:textId="77777777" w:rsidR="0032032C" w:rsidRDefault="003136D2">
            <w:pPr>
              <w:spacing w:before="100" w:beforeAutospacing="1" w:after="100" w:afterAutospacing="1" w:line="276" w:lineRule="auto"/>
              <w:rPr>
                <w:rFonts w:ascii="David" w:hAnsi="David"/>
                <w:sz w:val="24"/>
                <w:rtl/>
              </w:rPr>
            </w:pPr>
            <w:r>
              <w:rPr>
                <w:rFonts w:ascii="David" w:hAnsi="David"/>
                <w:sz w:val="24"/>
                <w:rtl/>
              </w:rPr>
              <w:t>באמצעות ב"כ: עו"ד מנחם מאיר</w:t>
            </w:r>
            <w:r>
              <w:br/>
            </w:r>
            <w:r>
              <w:rPr>
                <w:rFonts w:ascii="David" w:hAnsi="David"/>
                <w:sz w:val="24"/>
                <w:rtl/>
              </w:rPr>
              <w:t>הנמל 2, חיפה</w:t>
            </w:r>
            <w:r>
              <w:br/>
            </w:r>
            <w:r>
              <w:rPr>
                <w:rFonts w:ascii="David" w:hAnsi="David"/>
                <w:sz w:val="24"/>
                <w:rtl/>
              </w:rPr>
              <w:t>טל':0539500000 פקס:048110249</w:t>
            </w:r>
            <w:r>
              <w:br/>
            </w:r>
          </w:p>
        </w:tc>
      </w:tr>
    </w:tbl>
    <w:p w14:paraId="45A68E37" w14:textId="77777777" w:rsidR="00570DA1" w:rsidRPr="008A7D76" w:rsidRDefault="00570DA1" w:rsidP="00EF5F96">
      <w:pPr>
        <w:spacing w:before="100" w:beforeAutospacing="1" w:after="240" w:line="360" w:lineRule="auto"/>
        <w:ind w:firstLine="720"/>
        <w:contextualSpacing w:val="0"/>
        <w:jc w:val="center"/>
        <w:outlineLvl w:val="0"/>
        <w:rPr>
          <w:rFonts w:ascii="David" w:hAnsi="David"/>
          <w:b/>
          <w:bCs/>
          <w:sz w:val="32"/>
          <w:szCs w:val="32"/>
          <w:u w:val="single"/>
          <w:rtl/>
        </w:rPr>
      </w:pPr>
      <w:r>
        <w:rPr>
          <w:rFonts w:ascii="David" w:hAnsi="David"/>
          <w:b/>
          <w:bCs/>
          <w:noProof/>
          <w:sz w:val="24"/>
          <w:szCs w:val="32"/>
          <w:u w:val="single"/>
          <w:rtl/>
        </w:rPr>
        <w:t>החלטה</w:t>
      </w:r>
    </w:p>
    <w:p w14:paraId="21AAB65D" w14:textId="4D722C53" w:rsidR="00570DA1" w:rsidRDefault="00570DA1" w:rsidP="00570DA1">
      <w:pPr>
        <w:spacing w:before="100" w:beforeAutospacing="1" w:after="240" w:line="360" w:lineRule="auto"/>
        <w:contextualSpacing w:val="0"/>
        <w:jc w:val="both"/>
        <w:rPr>
          <w:rtl/>
        </w:rPr>
      </w:pPr>
      <w:r>
        <w:rPr>
          <w:rFonts w:hint="cs"/>
          <w:rtl/>
        </w:rPr>
        <w:t>לפניי בקשה לפי סעיף 77א לחוק בתי המשפט [נוסח משולב], התשמ"ד-1984</w:t>
      </w:r>
      <w:r w:rsidR="007C0832">
        <w:rPr>
          <w:rFonts w:hint="cs"/>
          <w:rtl/>
        </w:rPr>
        <w:t xml:space="preserve"> (להלן: "</w:t>
      </w:r>
      <w:r w:rsidR="007C0832">
        <w:rPr>
          <w:rFonts w:hint="cs"/>
          <w:b/>
          <w:bCs/>
          <w:rtl/>
        </w:rPr>
        <w:t>חוק בתי המשפט</w:t>
      </w:r>
      <w:r w:rsidR="007C0832">
        <w:rPr>
          <w:rFonts w:hint="cs"/>
          <w:rtl/>
        </w:rPr>
        <w:t>")</w:t>
      </w:r>
      <w:r>
        <w:rPr>
          <w:rFonts w:hint="cs"/>
          <w:rtl/>
        </w:rPr>
        <w:t>, אשר במסגרתה ביקשו המבקשים כי אפסול את עצמי מלדון בעניינם. לאחר שעיינתי בבקשה מצאתי כי יש לדחותה אף ללא קבלת תשובה, בהתאם להוראות תקנה 50(2)</w:t>
      </w:r>
      <w:r>
        <w:rPr>
          <w:rFonts w:hint="cs"/>
        </w:rPr>
        <w:t xml:space="preserve"> </w:t>
      </w:r>
      <w:r>
        <w:rPr>
          <w:rFonts w:hint="cs"/>
          <w:rtl/>
        </w:rPr>
        <w:t>לתקנות סדר הדין האזרחי, התשע"ט-2018</w:t>
      </w:r>
      <w:r w:rsidR="007C0832">
        <w:rPr>
          <w:rFonts w:hint="cs"/>
          <w:rtl/>
        </w:rPr>
        <w:t xml:space="preserve"> (להלן: "</w:t>
      </w:r>
      <w:r w:rsidR="007C0832">
        <w:rPr>
          <w:rFonts w:hint="cs"/>
          <w:b/>
          <w:bCs/>
          <w:rtl/>
        </w:rPr>
        <w:t>התקנות</w:t>
      </w:r>
      <w:r w:rsidR="007C0832">
        <w:rPr>
          <w:rFonts w:hint="cs"/>
          <w:rtl/>
        </w:rPr>
        <w:t>")</w:t>
      </w:r>
      <w:r>
        <w:rPr>
          <w:rFonts w:hint="cs"/>
          <w:rtl/>
        </w:rPr>
        <w:t xml:space="preserve">. </w:t>
      </w:r>
    </w:p>
    <w:p w14:paraId="55325C60" w14:textId="77777777" w:rsidR="00570DA1" w:rsidRDefault="00570DA1" w:rsidP="00570DA1">
      <w:pPr>
        <w:spacing w:before="100" w:beforeAutospacing="1" w:after="240" w:line="360" w:lineRule="auto"/>
        <w:contextualSpacing w:val="0"/>
        <w:jc w:val="both"/>
        <w:rPr>
          <w:b/>
          <w:bCs/>
          <w:u w:val="single"/>
          <w:rtl/>
        </w:rPr>
      </w:pPr>
    </w:p>
    <w:p w14:paraId="2D22D438" w14:textId="06AA7AB6" w:rsidR="00570DA1" w:rsidRDefault="00570DA1" w:rsidP="00C77800">
      <w:pPr>
        <w:spacing w:before="100" w:beforeAutospacing="1" w:after="240" w:line="360" w:lineRule="auto"/>
        <w:contextualSpacing w:val="0"/>
        <w:jc w:val="both"/>
        <w:outlineLvl w:val="1"/>
        <w:rPr>
          <w:b/>
          <w:bCs/>
          <w:u w:val="single"/>
          <w:rtl/>
        </w:rPr>
      </w:pPr>
      <w:r>
        <w:rPr>
          <w:rFonts w:hint="cs"/>
          <w:b/>
          <w:bCs/>
          <w:u w:val="single"/>
          <w:rtl/>
        </w:rPr>
        <w:lastRenderedPageBreak/>
        <w:t>הרקע לבקשה</w:t>
      </w:r>
    </w:p>
    <w:p w14:paraId="2C34384B" w14:textId="77777777" w:rsidR="00570DA1" w:rsidRDefault="00570DA1" w:rsidP="00570DA1">
      <w:pPr>
        <w:pStyle w:val="ac"/>
        <w:numPr>
          <w:ilvl w:val="0"/>
          <w:numId w:val="15"/>
        </w:numPr>
        <w:spacing w:before="100" w:beforeAutospacing="1" w:after="240" w:line="360" w:lineRule="auto"/>
        <w:contextualSpacing w:val="0"/>
        <w:jc w:val="both"/>
      </w:pPr>
      <w:r>
        <w:rPr>
          <w:rFonts w:hint="cs"/>
          <w:rtl/>
        </w:rPr>
        <w:t>הצדדים שלפניי הם בעלי דירות בבית המשותף שברחוב טופז 2 אילת (להלן: "</w:t>
      </w:r>
      <w:r>
        <w:rPr>
          <w:rFonts w:hint="cs"/>
          <w:b/>
          <w:bCs/>
          <w:rtl/>
        </w:rPr>
        <w:t>הבית המשותף</w:t>
      </w:r>
      <w:r>
        <w:rPr>
          <w:rFonts w:hint="cs"/>
          <w:rtl/>
        </w:rPr>
        <w:t>"). מזה מספר שנים מנהלים ביניהם בעלי הדירות בבית המשותף התדיינויות משפטיות רבות מאוד בערכאות שונות, בקשר עם היבטים שונים שנוגעים לבית המשותף וליחסי השכנות בו (לכתב התביעה צורפה רשימה של עשרות רבות של הליכים בין הצדדים).</w:t>
      </w:r>
    </w:p>
    <w:p w14:paraId="6A6067D1" w14:textId="77777777" w:rsidR="00570DA1" w:rsidRDefault="00570DA1" w:rsidP="00570DA1">
      <w:pPr>
        <w:pStyle w:val="ac"/>
        <w:numPr>
          <w:ilvl w:val="0"/>
          <w:numId w:val="15"/>
        </w:numPr>
        <w:spacing w:before="100" w:beforeAutospacing="1" w:after="240" w:line="360" w:lineRule="auto"/>
        <w:contextualSpacing w:val="0"/>
        <w:jc w:val="both"/>
      </w:pPr>
      <w:r>
        <w:rPr>
          <w:rFonts w:hint="cs"/>
          <w:rtl/>
        </w:rPr>
        <w:t xml:space="preserve">לענייננו אסתפק בלומר כי ביום </w:t>
      </w:r>
      <w:r w:rsidRPr="00DF06AF">
        <w:rPr>
          <w:rFonts w:hint="cs"/>
          <w:rtl/>
        </w:rPr>
        <w:t>12.1.2025</w:t>
      </w:r>
      <w:r>
        <w:rPr>
          <w:rFonts w:hint="cs"/>
          <w:rtl/>
        </w:rPr>
        <w:t xml:space="preserve"> הגישו המשיבים הודעה בגדרי תיק זה, ובה הודיעו כי ביום </w:t>
      </w:r>
      <w:r w:rsidRPr="00DF06AF">
        <w:rPr>
          <w:rFonts w:hint="cs"/>
          <w:rtl/>
        </w:rPr>
        <w:t>7.1.2025</w:t>
      </w:r>
      <w:r>
        <w:rPr>
          <w:rFonts w:hint="cs"/>
          <w:rtl/>
        </w:rPr>
        <w:t xml:space="preserve"> ניתן פסק דין בבית המשפט העליון בעניינם, בנוגע למחלוקת ביניהם בדבר זהות חברי נציגות הבית המשותף (רע"א 5669/2024). בפסק הדין נקבע, לענייננו, כי בהסכמת הצדדים תתקיימנה בחירות בבית המשותף בהקדם (ככל הניתן תוך 21-14 יום), בהתאם לפסקי דין קודמים שניתנו בעניינם של הצדדים, ובפיקוח המפקח על רישום מקרקעין שימנה גורם מטעמו ו"</w:t>
      </w:r>
      <w:r w:rsidRPr="00DF06AF">
        <w:rPr>
          <w:rFonts w:hint="cs"/>
          <w:rtl/>
        </w:rPr>
        <w:t>הכל</w:t>
      </w:r>
      <w:r>
        <w:rPr>
          <w:rFonts w:hint="cs"/>
          <w:rtl/>
        </w:rPr>
        <w:t xml:space="preserve"> בהתאם לשיקול דעתו".</w:t>
      </w:r>
    </w:p>
    <w:p w14:paraId="0F7B9D36" w14:textId="7358B0C4" w:rsidR="00570DA1" w:rsidRDefault="00570DA1" w:rsidP="00570DA1">
      <w:pPr>
        <w:pStyle w:val="ac"/>
        <w:numPr>
          <w:ilvl w:val="0"/>
          <w:numId w:val="15"/>
        </w:numPr>
        <w:spacing w:before="100" w:beforeAutospacing="1" w:after="240" w:line="360" w:lineRule="auto"/>
        <w:contextualSpacing w:val="0"/>
        <w:jc w:val="both"/>
      </w:pPr>
      <w:r>
        <w:rPr>
          <w:rFonts w:hint="cs"/>
          <w:rtl/>
        </w:rPr>
        <w:t>עוד באותו יום הוריתי לצדדים להגיש את עמד</w:t>
      </w:r>
      <w:r w:rsidR="00334571">
        <w:rPr>
          <w:rFonts w:hint="cs"/>
          <w:rtl/>
        </w:rPr>
        <w:t>ו</w:t>
      </w:r>
      <w:r>
        <w:rPr>
          <w:rFonts w:hint="cs"/>
          <w:rtl/>
        </w:rPr>
        <w:t>ת</w:t>
      </w:r>
      <w:r w:rsidR="00334571">
        <w:rPr>
          <w:rFonts w:hint="cs"/>
          <w:rtl/>
        </w:rPr>
        <w:t>יה</w:t>
      </w:r>
      <w:r>
        <w:rPr>
          <w:rFonts w:hint="cs"/>
          <w:rtl/>
        </w:rPr>
        <w:t xml:space="preserve">ם בדבר המשך קיום ההליך לאור פסק הדין שניתן בבית המשפט העליון. ביום </w:t>
      </w:r>
      <w:r w:rsidRPr="00DF06AF">
        <w:rPr>
          <w:rFonts w:hint="cs"/>
          <w:rtl/>
        </w:rPr>
        <w:t>19.1.2025</w:t>
      </w:r>
      <w:r>
        <w:rPr>
          <w:rFonts w:hint="cs"/>
          <w:rtl/>
        </w:rPr>
        <w:t>, לאחר קבלת עמדות הצדדים, הוריתי על קיום אסיפה כללית בבית המשותף בפיקוח עו"ד, שהנושא היחיד</w:t>
      </w:r>
      <w:r w:rsidRPr="00DF06AF">
        <w:rPr>
          <w:rtl/>
        </w:rPr>
        <w:t xml:space="preserve"> ש</w:t>
      </w:r>
      <w:r>
        <w:rPr>
          <w:rFonts w:hint="cs"/>
          <w:rtl/>
        </w:rPr>
        <w:t>יידון בה</w:t>
      </w:r>
      <w:r w:rsidRPr="00DF06AF">
        <w:rPr>
          <w:rtl/>
        </w:rPr>
        <w:t xml:space="preserve"> </w:t>
      </w:r>
      <w:r>
        <w:rPr>
          <w:rFonts w:hint="cs"/>
          <w:rtl/>
        </w:rPr>
        <w:t xml:space="preserve">יהיה בחירות לנציגות הבית המשותף; ביום </w:t>
      </w:r>
      <w:r w:rsidRPr="00DF06AF">
        <w:rPr>
          <w:rFonts w:hint="cs"/>
          <w:rtl/>
        </w:rPr>
        <w:t>6.2.2025</w:t>
      </w:r>
      <w:r>
        <w:rPr>
          <w:rFonts w:hint="cs"/>
          <w:rtl/>
        </w:rPr>
        <w:t>, לאחר שהתקבלו הסכמות הצדדים, הוריתי על מינויה של עורכת הדין עדה פרנקל לממונה על האסיפה הכללית</w:t>
      </w:r>
      <w:r w:rsidR="00334571">
        <w:rPr>
          <w:rFonts w:hint="cs"/>
          <w:rtl/>
        </w:rPr>
        <w:t xml:space="preserve"> (להלן: "</w:t>
      </w:r>
      <w:r w:rsidR="00334571">
        <w:rPr>
          <w:rFonts w:hint="cs"/>
          <w:b/>
          <w:bCs/>
          <w:rtl/>
        </w:rPr>
        <w:t>הממונה</w:t>
      </w:r>
      <w:r w:rsidR="00334571">
        <w:rPr>
          <w:rFonts w:hint="cs"/>
          <w:rtl/>
        </w:rPr>
        <w:t>"). במסגרת החלטת המינוי ניתנו הוראות מפורטות בדבר אופן ניהול האסיפה וביצוע הפעולות המקדימות לה</w:t>
      </w:r>
      <w:r>
        <w:rPr>
          <w:rFonts w:hint="cs"/>
          <w:rtl/>
        </w:rPr>
        <w:t xml:space="preserve">; </w:t>
      </w:r>
      <w:r w:rsidR="00334571">
        <w:rPr>
          <w:rFonts w:hint="cs"/>
          <w:rtl/>
        </w:rPr>
        <w:t xml:space="preserve">לאחר מינוייה של הממונה, ועל-אף ההוראות המפורטות במסגרת ההחלטה על מינוייה, המשיכו הצדדים לפנות בבקשות </w:t>
      </w:r>
      <w:r w:rsidR="007D6D54">
        <w:rPr>
          <w:rFonts w:hint="cs"/>
          <w:rtl/>
        </w:rPr>
        <w:t xml:space="preserve">רבות </w:t>
      </w:r>
      <w:r w:rsidR="00334571">
        <w:rPr>
          <w:rFonts w:hint="cs"/>
          <w:rtl/>
        </w:rPr>
        <w:t>בנוגע לאופן ניהול האסיפה</w:t>
      </w:r>
      <w:r w:rsidR="007D6D54">
        <w:rPr>
          <w:rFonts w:hint="cs"/>
          <w:rtl/>
        </w:rPr>
        <w:t xml:space="preserve"> והחלטות ניתנו בבקשות אלה; </w:t>
      </w:r>
      <w:r>
        <w:rPr>
          <w:rFonts w:hint="cs"/>
          <w:rtl/>
        </w:rPr>
        <w:t xml:space="preserve">ביום </w:t>
      </w:r>
      <w:r w:rsidRPr="00DF06AF">
        <w:rPr>
          <w:rFonts w:hint="cs"/>
          <w:rtl/>
        </w:rPr>
        <w:t>10.3.2025</w:t>
      </w:r>
      <w:r>
        <w:rPr>
          <w:rFonts w:hint="cs"/>
          <w:rtl/>
        </w:rPr>
        <w:t xml:space="preserve"> הודיעה </w:t>
      </w:r>
      <w:r w:rsidR="007C0832">
        <w:rPr>
          <w:rFonts w:hint="cs"/>
          <w:rtl/>
        </w:rPr>
        <w:t>הממונה</w:t>
      </w:r>
      <w:r>
        <w:rPr>
          <w:rFonts w:hint="cs"/>
          <w:rtl/>
        </w:rPr>
        <w:t xml:space="preserve"> כי האסיפה התקיימה והיא הציגה את תוצאותיה</w:t>
      </w:r>
      <w:r w:rsidR="00334571">
        <w:rPr>
          <w:rFonts w:hint="cs"/>
          <w:rtl/>
        </w:rPr>
        <w:t>.</w:t>
      </w:r>
      <w:r>
        <w:rPr>
          <w:rFonts w:hint="cs"/>
          <w:rtl/>
        </w:rPr>
        <w:t xml:space="preserve"> </w:t>
      </w:r>
      <w:r w:rsidR="00334571">
        <w:rPr>
          <w:rFonts w:hint="cs"/>
          <w:rtl/>
        </w:rPr>
        <w:t xml:space="preserve">בהמשך לכך קבעתי </w:t>
      </w:r>
      <w:r>
        <w:rPr>
          <w:rFonts w:hint="cs"/>
          <w:rtl/>
        </w:rPr>
        <w:t>באותו היום כי אני מאשר את תוצאות האסיפה "</w:t>
      </w:r>
      <w:r w:rsidRPr="00DF06AF">
        <w:rPr>
          <w:rFonts w:hint="cs"/>
          <w:rtl/>
        </w:rPr>
        <w:t>מבלי</w:t>
      </w:r>
      <w:r>
        <w:rPr>
          <w:rFonts w:hint="cs"/>
          <w:rtl/>
        </w:rPr>
        <w:t xml:space="preserve"> שיהיה בכך כדי למנוע מצד מעוניין מלטעון טענות נגד קיום האסיפה ותוצאותיה, בכפוף לכל דין". לענייננו ייאמר כי בנציגות </w:t>
      </w:r>
      <w:r w:rsidR="007D6D54">
        <w:rPr>
          <w:rFonts w:hint="cs"/>
          <w:rtl/>
        </w:rPr>
        <w:t>החדשה חברים חלק מהמשיבים</w:t>
      </w:r>
      <w:r>
        <w:rPr>
          <w:rFonts w:hint="cs"/>
          <w:rtl/>
        </w:rPr>
        <w:t>.</w:t>
      </w:r>
    </w:p>
    <w:p w14:paraId="1810335D" w14:textId="0D6CD258" w:rsidR="00570DA1" w:rsidRDefault="00570DA1" w:rsidP="00570DA1">
      <w:pPr>
        <w:pStyle w:val="ac"/>
        <w:numPr>
          <w:ilvl w:val="0"/>
          <w:numId w:val="15"/>
        </w:numPr>
        <w:spacing w:before="100" w:beforeAutospacing="1" w:after="240" w:line="360" w:lineRule="auto"/>
        <w:contextualSpacing w:val="0"/>
        <w:jc w:val="both"/>
      </w:pPr>
      <w:r>
        <w:rPr>
          <w:rFonts w:hint="cs"/>
          <w:rtl/>
        </w:rPr>
        <w:t xml:space="preserve">כן קבעתי בהחלטתי מיום </w:t>
      </w:r>
      <w:r w:rsidRPr="00DF06AF">
        <w:rPr>
          <w:rFonts w:hint="cs"/>
          <w:rtl/>
        </w:rPr>
        <w:t>10.3.2025</w:t>
      </w:r>
      <w:r>
        <w:rPr>
          <w:rFonts w:hint="cs"/>
          <w:rtl/>
        </w:rPr>
        <w:t xml:space="preserve"> כי לאחר השלמת הליך הבחירות נדמה שהסתיים הטיפול בהליך במסגרתו הוגשה הבקשה (2/119/2024), והוריתי לצדדים להודיע </w:t>
      </w:r>
      <w:r w:rsidRPr="00DF06AF">
        <w:rPr>
          <w:rFonts w:hint="cs"/>
          <w:rtl/>
        </w:rPr>
        <w:t>האם</w:t>
      </w:r>
      <w:r>
        <w:rPr>
          <w:rFonts w:hint="cs"/>
          <w:rtl/>
        </w:rPr>
        <w:t xml:space="preserve"> יש סיבה שלא למחוק את ההליך. לאחר קבלת תגובות </w:t>
      </w:r>
      <w:r w:rsidR="007D6D54">
        <w:rPr>
          <w:rFonts w:hint="cs"/>
          <w:rtl/>
        </w:rPr>
        <w:t>המבקשים</w:t>
      </w:r>
      <w:r>
        <w:rPr>
          <w:rFonts w:hint="cs"/>
          <w:rtl/>
        </w:rPr>
        <w:t xml:space="preserve"> </w:t>
      </w:r>
      <w:r>
        <w:rPr>
          <w:rtl/>
        </w:rPr>
        <w:t>–</w:t>
      </w:r>
      <w:r>
        <w:rPr>
          <w:rFonts w:hint="cs"/>
          <w:rtl/>
        </w:rPr>
        <w:t xml:space="preserve"> בה הבהירו, בין היתר, את הצורך בהמשך בירור שאר הטענות שבגדרי תביעה 2/119/2024 </w:t>
      </w:r>
      <w:r>
        <w:rPr>
          <w:rtl/>
        </w:rPr>
        <w:t>–</w:t>
      </w:r>
      <w:r>
        <w:rPr>
          <w:rFonts w:hint="cs"/>
          <w:rtl/>
        </w:rPr>
        <w:t xml:space="preserve"> קבעתי דיון מקדמי בארבעה הליכים תלויים ועומדים </w:t>
      </w:r>
      <w:r w:rsidR="007D6D54">
        <w:rPr>
          <w:rFonts w:hint="cs"/>
          <w:rtl/>
        </w:rPr>
        <w:t>בעניין הבית המשותף</w:t>
      </w:r>
      <w:r>
        <w:rPr>
          <w:rFonts w:hint="cs"/>
          <w:rtl/>
        </w:rPr>
        <w:t xml:space="preserve"> (2/147/2023, 2/261/2023, 2/119/2024 ו-</w:t>
      </w:r>
      <w:r w:rsidRPr="00DF06AF">
        <w:rPr>
          <w:rFonts w:hint="cs"/>
          <w:rtl/>
        </w:rPr>
        <w:t>2/1/2025</w:t>
      </w:r>
      <w:r>
        <w:rPr>
          <w:rFonts w:hint="cs"/>
          <w:rtl/>
        </w:rPr>
        <w:t xml:space="preserve">). </w:t>
      </w:r>
    </w:p>
    <w:p w14:paraId="2C5A4BA9" w14:textId="7421A5B5" w:rsidR="007D6D54" w:rsidRDefault="00570DA1" w:rsidP="00570DA1">
      <w:pPr>
        <w:pStyle w:val="ac"/>
        <w:numPr>
          <w:ilvl w:val="0"/>
          <w:numId w:val="15"/>
        </w:numPr>
        <w:spacing w:before="100" w:beforeAutospacing="1" w:after="240" w:line="360" w:lineRule="auto"/>
        <w:contextualSpacing w:val="0"/>
        <w:jc w:val="both"/>
      </w:pPr>
      <w:r>
        <w:rPr>
          <w:rFonts w:hint="cs"/>
          <w:rtl/>
        </w:rPr>
        <w:t xml:space="preserve">ביום </w:t>
      </w:r>
      <w:r w:rsidRPr="00DF06AF">
        <w:rPr>
          <w:rFonts w:hint="cs"/>
          <w:rtl/>
        </w:rPr>
        <w:t>21.4.2025</w:t>
      </w:r>
      <w:r>
        <w:rPr>
          <w:rFonts w:hint="cs"/>
          <w:rtl/>
        </w:rPr>
        <w:t xml:space="preserve"> התקיים דיון בארבעת ההליכים</w:t>
      </w:r>
      <w:r w:rsidR="007D6D54">
        <w:rPr>
          <w:rFonts w:hint="cs"/>
          <w:rtl/>
        </w:rPr>
        <w:t xml:space="preserve"> האמורים</w:t>
      </w:r>
      <w:r>
        <w:rPr>
          <w:rFonts w:hint="cs"/>
          <w:rtl/>
        </w:rPr>
        <w:t>.</w:t>
      </w:r>
      <w:r w:rsidR="007D6D54">
        <w:rPr>
          <w:rFonts w:hint="cs"/>
          <w:rtl/>
        </w:rPr>
        <w:t xml:space="preserve"> אין זהות מלאה בין הצדדים בארבעת ההליכים, עם זאת, </w:t>
      </w:r>
      <w:r w:rsidR="00F1177A">
        <w:rPr>
          <w:rFonts w:hint="cs"/>
          <w:rtl/>
        </w:rPr>
        <w:t xml:space="preserve">באי הכוח שלפניי מייצגים בכל ההליכים, ולפחות חלק מהצדדים </w:t>
      </w:r>
      <w:r w:rsidR="00F1177A">
        <w:rPr>
          <w:rFonts w:hint="cs"/>
          <w:rtl/>
        </w:rPr>
        <w:lastRenderedPageBreak/>
        <w:t xml:space="preserve">שלפניי משתתפים גם בהליכים האחרים ומיוצגים על-ידי באי כוחם בהליך זה. בהינתן האמור, ועל מנת שלא להלאות, אייחס לצדדים בהליך שלפניי כצדדים גם בהליכים האחרים, על-אף שהדבר אינו מדויק. </w:t>
      </w:r>
    </w:p>
    <w:p w14:paraId="408F3EDE" w14:textId="1F5EE15A" w:rsidR="00570DA1" w:rsidRDefault="00570DA1" w:rsidP="00570DA1">
      <w:pPr>
        <w:pStyle w:val="ac"/>
        <w:numPr>
          <w:ilvl w:val="0"/>
          <w:numId w:val="15"/>
        </w:numPr>
        <w:spacing w:before="100" w:beforeAutospacing="1" w:after="240" w:line="360" w:lineRule="auto"/>
        <w:contextualSpacing w:val="0"/>
        <w:jc w:val="both"/>
      </w:pPr>
      <w:r>
        <w:rPr>
          <w:rFonts w:hint="cs"/>
          <w:rtl/>
        </w:rPr>
        <w:t xml:space="preserve">הדיון </w:t>
      </w:r>
      <w:r w:rsidR="007D6D54">
        <w:rPr>
          <w:rFonts w:hint="cs"/>
          <w:rtl/>
        </w:rPr>
        <w:t xml:space="preserve">שנערך ביום 21.4.2025 </w:t>
      </w:r>
      <w:r>
        <w:rPr>
          <w:rFonts w:hint="cs"/>
          <w:rtl/>
        </w:rPr>
        <w:t>נמשך שעות רבות, ובמהלכו עלה בידי הצדדים להגיע להסכמות במרבית ככל המחלוקות ביניהם, כדלקמן:</w:t>
      </w:r>
    </w:p>
    <w:p w14:paraId="526B9A72" w14:textId="792CE5F7" w:rsidR="00570DA1" w:rsidRDefault="00570DA1" w:rsidP="00570DA1">
      <w:pPr>
        <w:pStyle w:val="ac"/>
        <w:numPr>
          <w:ilvl w:val="0"/>
          <w:numId w:val="16"/>
        </w:numPr>
        <w:spacing w:before="100" w:beforeAutospacing="1" w:after="240" w:line="360" w:lineRule="auto"/>
        <w:contextualSpacing w:val="0"/>
        <w:jc w:val="both"/>
      </w:pPr>
      <w:r>
        <w:rPr>
          <w:rFonts w:hint="cs"/>
          <w:rtl/>
        </w:rPr>
        <w:t xml:space="preserve">הליך 2/147/2023 </w:t>
      </w:r>
      <w:r>
        <w:rPr>
          <w:rtl/>
        </w:rPr>
        <w:t>–</w:t>
      </w:r>
      <w:r>
        <w:rPr>
          <w:rFonts w:hint="cs"/>
          <w:rtl/>
        </w:rPr>
        <w:t xml:space="preserve"> מדובר בתביעה לפי סעיף 58(א) לחוק המקרקעין, התשכ"ט-1969 (להלן: "</w:t>
      </w:r>
      <w:r>
        <w:rPr>
          <w:rFonts w:hint="cs"/>
          <w:b/>
          <w:bCs/>
          <w:rtl/>
        </w:rPr>
        <w:t>חוק המקרקעין</w:t>
      </w:r>
      <w:r>
        <w:rPr>
          <w:rFonts w:hint="cs"/>
          <w:rtl/>
        </w:rPr>
        <w:t xml:space="preserve">") שהוגשה על-ידי </w:t>
      </w:r>
      <w:r w:rsidR="007D6D54">
        <w:rPr>
          <w:rFonts w:hint="cs"/>
          <w:rtl/>
        </w:rPr>
        <w:t xml:space="preserve">נציגות הבית המשותף </w:t>
      </w:r>
      <w:r w:rsidR="007D6D54">
        <w:rPr>
          <w:rtl/>
        </w:rPr>
        <w:t>–</w:t>
      </w:r>
      <w:r w:rsidR="007D6D54">
        <w:rPr>
          <w:rFonts w:hint="cs"/>
          <w:rtl/>
        </w:rPr>
        <w:t xml:space="preserve"> כשהמבקשים כיהנו בה, ולמצער טענו לכתר הנציגות</w:t>
      </w:r>
      <w:r>
        <w:rPr>
          <w:rFonts w:hint="cs"/>
          <w:rtl/>
        </w:rPr>
        <w:t xml:space="preserve"> </w:t>
      </w:r>
      <w:r w:rsidR="007D6D54">
        <w:rPr>
          <w:rtl/>
        </w:rPr>
        <w:t>–</w:t>
      </w:r>
      <w:r w:rsidR="007D6D54">
        <w:rPr>
          <w:rFonts w:hint="cs"/>
          <w:rtl/>
        </w:rPr>
        <w:t xml:space="preserve"> </w:t>
      </w:r>
      <w:r>
        <w:rPr>
          <w:rFonts w:hint="cs"/>
          <w:rtl/>
        </w:rPr>
        <w:t>נגד המשיבים</w:t>
      </w:r>
      <w:r w:rsidR="007D6D54">
        <w:rPr>
          <w:rFonts w:hint="cs"/>
          <w:rtl/>
        </w:rPr>
        <w:t xml:space="preserve"> ובעלי דירות נוספים</w:t>
      </w:r>
      <w:r>
        <w:rPr>
          <w:rFonts w:hint="cs"/>
          <w:rtl/>
        </w:rPr>
        <w:t xml:space="preserve">. </w:t>
      </w:r>
      <w:r w:rsidR="007D6D54">
        <w:rPr>
          <w:rFonts w:hint="cs"/>
          <w:rtl/>
        </w:rPr>
        <w:t xml:space="preserve">בפתח הדיון הודיעה </w:t>
      </w:r>
      <w:r>
        <w:rPr>
          <w:rFonts w:hint="cs"/>
          <w:rtl/>
        </w:rPr>
        <w:t xml:space="preserve">הנציגות בהרכבה החוקי החדש, שכאמור כולל חלק מהמשיבים, כי היא אינה עומדת </w:t>
      </w:r>
      <w:r w:rsidR="007D6D54">
        <w:rPr>
          <w:rFonts w:hint="cs"/>
          <w:rtl/>
        </w:rPr>
        <w:t xml:space="preserve">עוד </w:t>
      </w:r>
      <w:r>
        <w:rPr>
          <w:rFonts w:hint="cs"/>
          <w:rtl/>
        </w:rPr>
        <w:t>על התביעה וביקשה להורות על מחיקת</w:t>
      </w:r>
      <w:r w:rsidR="007D6D54">
        <w:rPr>
          <w:rFonts w:hint="cs"/>
          <w:rtl/>
        </w:rPr>
        <w:t>ה</w:t>
      </w:r>
      <w:r>
        <w:rPr>
          <w:rFonts w:hint="cs"/>
          <w:rtl/>
        </w:rPr>
        <w:t xml:space="preserve">. </w:t>
      </w:r>
      <w:r w:rsidR="007D6D54">
        <w:rPr>
          <w:rFonts w:hint="cs"/>
          <w:rtl/>
        </w:rPr>
        <w:t xml:space="preserve">בהינתן שהתובעת הודיעה כי היא אינה עומדת </w:t>
      </w:r>
      <w:r w:rsidR="007C0832">
        <w:rPr>
          <w:rFonts w:hint="cs"/>
          <w:rtl/>
        </w:rPr>
        <w:t xml:space="preserve">עוד </w:t>
      </w:r>
      <w:r w:rsidR="007D6D54">
        <w:rPr>
          <w:rFonts w:hint="cs"/>
          <w:rtl/>
        </w:rPr>
        <w:t xml:space="preserve">על התביעה </w:t>
      </w:r>
      <w:r>
        <w:rPr>
          <w:rFonts w:hint="cs"/>
          <w:rtl/>
        </w:rPr>
        <w:t xml:space="preserve">ניתן פסק דין אשר </w:t>
      </w:r>
      <w:r w:rsidR="007D6D54">
        <w:rPr>
          <w:rFonts w:hint="cs"/>
          <w:rtl/>
        </w:rPr>
        <w:t xml:space="preserve">מורה על מחיקת </w:t>
      </w:r>
      <w:r>
        <w:rPr>
          <w:rFonts w:hint="cs"/>
          <w:rtl/>
        </w:rPr>
        <w:t xml:space="preserve">התביעה ללא צו להוצאות. אציין כי ב"כ המבקשים, שהגיש את כתב התביעה בשם הנציגות דאז, התנגד לפסק הדין, אולם לא אפשרתי לו לטעון בעניין זה, בשל כך שלאחר חילופי הגברי בנציגות הבית המשותף הוא אינו עוד מייצג </w:t>
      </w:r>
      <w:r w:rsidR="007D6D54">
        <w:rPr>
          <w:rFonts w:hint="cs"/>
          <w:rtl/>
        </w:rPr>
        <w:t>בתביעה זו</w:t>
      </w:r>
      <w:r>
        <w:rPr>
          <w:rFonts w:hint="cs"/>
          <w:rtl/>
        </w:rPr>
        <w:t xml:space="preserve"> (ראו: עמוד </w:t>
      </w:r>
      <w:r w:rsidRPr="00DF06AF">
        <w:rPr>
          <w:rFonts w:hint="cs"/>
          <w:rtl/>
        </w:rPr>
        <w:t>3</w:t>
      </w:r>
      <w:r>
        <w:rPr>
          <w:rFonts w:hint="cs"/>
          <w:rtl/>
        </w:rPr>
        <w:t xml:space="preserve"> שורות 28-1 לפרוטוקול הדיון מיום </w:t>
      </w:r>
      <w:r w:rsidRPr="00DF06AF">
        <w:rPr>
          <w:rFonts w:hint="cs"/>
          <w:rtl/>
        </w:rPr>
        <w:t>21.4.2025</w:t>
      </w:r>
      <w:r>
        <w:rPr>
          <w:rFonts w:hint="cs"/>
          <w:rtl/>
        </w:rPr>
        <w:t xml:space="preserve"> (להלן: "</w:t>
      </w:r>
      <w:r>
        <w:rPr>
          <w:rFonts w:hint="cs"/>
          <w:b/>
          <w:bCs/>
          <w:rtl/>
        </w:rPr>
        <w:t>פרוטוקול הדיון</w:t>
      </w:r>
      <w:r>
        <w:rPr>
          <w:rFonts w:hint="cs"/>
          <w:rtl/>
        </w:rPr>
        <w:t>")).</w:t>
      </w:r>
    </w:p>
    <w:p w14:paraId="0510F26A" w14:textId="4BE03B66" w:rsidR="00570DA1" w:rsidRDefault="00570DA1" w:rsidP="00570DA1">
      <w:pPr>
        <w:pStyle w:val="ac"/>
        <w:numPr>
          <w:ilvl w:val="0"/>
          <w:numId w:val="16"/>
        </w:numPr>
        <w:spacing w:before="100" w:beforeAutospacing="1" w:after="240" w:line="360" w:lineRule="auto"/>
        <w:contextualSpacing w:val="0"/>
        <w:jc w:val="both"/>
      </w:pPr>
      <w:r>
        <w:rPr>
          <w:rFonts w:hint="cs"/>
          <w:rtl/>
        </w:rPr>
        <w:t xml:space="preserve">הליך 2/261/2023 </w:t>
      </w:r>
      <w:r>
        <w:rPr>
          <w:rtl/>
        </w:rPr>
        <w:t>–</w:t>
      </w:r>
      <w:r>
        <w:rPr>
          <w:rFonts w:hint="cs"/>
          <w:rtl/>
        </w:rPr>
        <w:t xml:space="preserve"> תביעה זו הוגשה על-ידי המשיבים, ועניינה בהתנהלות חברי הנציגות הקודמת</w:t>
      </w:r>
      <w:r w:rsidR="007D6D54">
        <w:rPr>
          <w:rFonts w:hint="cs"/>
          <w:rtl/>
        </w:rPr>
        <w:t>, ובהם המבקשים</w:t>
      </w:r>
      <w:r>
        <w:rPr>
          <w:rFonts w:hint="cs"/>
          <w:rtl/>
        </w:rPr>
        <w:t xml:space="preserve">. הצדדים הסכימו כי עניינה של התביעה, למצער בעיקרו, בסעדים שאינם בסמכותו של המפקח על רישום מקרקעין. בהתאם לכך, ובהסכמת הצדדים, הוריתי על העברת תביעה זו לבית משפט השלום במחוז הדרום. </w:t>
      </w:r>
      <w:r w:rsidR="00572752">
        <w:rPr>
          <w:rFonts w:hint="cs"/>
          <w:rtl/>
        </w:rPr>
        <w:t>המשיבים</w:t>
      </w:r>
      <w:r>
        <w:rPr>
          <w:rFonts w:hint="cs"/>
          <w:rtl/>
        </w:rPr>
        <w:t xml:space="preserve"> ביקשו שתיפסקנה הוצאותיהם בקשר עם העברת ההליך, ובהחלטתי </w:t>
      </w:r>
      <w:r w:rsidR="00572752">
        <w:rPr>
          <w:rFonts w:hint="cs"/>
          <w:rtl/>
        </w:rPr>
        <w:t xml:space="preserve">בעניין העברת ההליך </w:t>
      </w:r>
      <w:r>
        <w:rPr>
          <w:rFonts w:hint="cs"/>
          <w:rtl/>
        </w:rPr>
        <w:t xml:space="preserve">קבעתי שאין צו להוצאות, מהטעמים שמפורטים בהחלטה. כן קבעתי כי בית המשפט שהתיק יועבר לעיונו ישקול גם את נושא זה כשיכריע בשאלת ההוצאות (ראו: עמוד 3 שורה 30 עד עמוד 4 שורה 42 לפרוטוקול הדיון). </w:t>
      </w:r>
    </w:p>
    <w:p w14:paraId="76308EAB" w14:textId="4A7F3F0C" w:rsidR="00570DA1" w:rsidRDefault="00570DA1" w:rsidP="00570DA1">
      <w:pPr>
        <w:pStyle w:val="ac"/>
        <w:numPr>
          <w:ilvl w:val="0"/>
          <w:numId w:val="16"/>
        </w:numPr>
        <w:spacing w:before="100" w:beforeAutospacing="1" w:after="240" w:line="360" w:lineRule="auto"/>
        <w:contextualSpacing w:val="0"/>
        <w:jc w:val="both"/>
      </w:pPr>
      <w:r>
        <w:rPr>
          <w:rFonts w:hint="cs"/>
          <w:rtl/>
        </w:rPr>
        <w:t xml:space="preserve">הליך 2/119/2024 </w:t>
      </w:r>
      <w:r>
        <w:rPr>
          <w:rtl/>
        </w:rPr>
        <w:t>–</w:t>
      </w:r>
      <w:r>
        <w:rPr>
          <w:rFonts w:hint="cs"/>
          <w:rtl/>
        </w:rPr>
        <w:t xml:space="preserve"> תביעה זו, שבגדרה הוגשה הבקשה, הוגשה על-ידי המבקשים נגד המשיבים וכללה ארבעה נושאים</w:t>
      </w:r>
      <w:r w:rsidRPr="00DF06AF">
        <w:rPr>
          <w:rFonts w:hint="cs"/>
          <w:rtl/>
        </w:rPr>
        <w:t>, אשר</w:t>
      </w:r>
      <w:r>
        <w:rPr>
          <w:rFonts w:hint="cs"/>
          <w:rtl/>
        </w:rPr>
        <w:t xml:space="preserve"> שלושה מהם נוגעים </w:t>
      </w:r>
      <w:r w:rsidR="003D3ACC">
        <w:rPr>
          <w:rFonts w:hint="cs"/>
          <w:rtl/>
        </w:rPr>
        <w:t>לנציגות הבית המשותף ו</w:t>
      </w:r>
      <w:r>
        <w:rPr>
          <w:rFonts w:hint="cs"/>
          <w:rtl/>
        </w:rPr>
        <w:t>לזהות חברי</w:t>
      </w:r>
      <w:r w:rsidR="003D3ACC">
        <w:rPr>
          <w:rFonts w:hint="cs"/>
          <w:rtl/>
        </w:rPr>
        <w:t>ה</w:t>
      </w:r>
      <w:r>
        <w:rPr>
          <w:rFonts w:hint="cs"/>
          <w:rtl/>
        </w:rPr>
        <w:t xml:space="preserve">. הוסכם על הצדדים כי הנושא שנותר לדון בו </w:t>
      </w:r>
      <w:r w:rsidR="00F1177A">
        <w:rPr>
          <w:rFonts w:hint="cs"/>
          <w:rtl/>
        </w:rPr>
        <w:t xml:space="preserve">בגדרי הליך זה </w:t>
      </w:r>
      <w:r>
        <w:rPr>
          <w:rFonts w:hint="cs"/>
          <w:rtl/>
        </w:rPr>
        <w:t>הוא שאלת פרשנות התקנון המוסכם של הבית המשותף. במהלך הדיון הסכימו המשיבים (הנתבעים בהליך) לוותר על טענתם המקדמית לפיה שאלת פרשנות התקנון נדונה והוכרעה</w:t>
      </w:r>
      <w:r w:rsidR="00F1177A">
        <w:rPr>
          <w:rFonts w:hint="cs"/>
          <w:rtl/>
        </w:rPr>
        <w:t xml:space="preserve"> בהליכים קודמים</w:t>
      </w:r>
      <w:r>
        <w:rPr>
          <w:rFonts w:hint="cs"/>
          <w:rtl/>
        </w:rPr>
        <w:t xml:space="preserve">. כמו-כן, במהלך הדיון ניתנה החלטה מנומקת אשר מורה </w:t>
      </w:r>
      <w:r>
        <w:rPr>
          <w:rFonts w:hint="cs"/>
          <w:rtl/>
        </w:rPr>
        <w:lastRenderedPageBreak/>
        <w:t xml:space="preserve">למבקשים (התובעים בהליך) לצרף לתביעה נתבעים נוספים, כמפורט בהחלטה (ראו: עמוד 10 עד עמוד 11 שורה 7 לפרוטוקול הדיון). </w:t>
      </w:r>
    </w:p>
    <w:p w14:paraId="3FDE1EDF" w14:textId="5BEB8962" w:rsidR="00570DA1" w:rsidRDefault="00570DA1" w:rsidP="00570DA1">
      <w:pPr>
        <w:pStyle w:val="ac"/>
        <w:numPr>
          <w:ilvl w:val="0"/>
          <w:numId w:val="16"/>
        </w:numPr>
        <w:spacing w:before="100" w:beforeAutospacing="1" w:after="240" w:line="360" w:lineRule="auto"/>
        <w:contextualSpacing w:val="0"/>
        <w:jc w:val="both"/>
      </w:pPr>
      <w:r>
        <w:rPr>
          <w:rFonts w:hint="cs"/>
          <w:rtl/>
        </w:rPr>
        <w:t xml:space="preserve">הליך </w:t>
      </w:r>
      <w:r w:rsidRPr="00DF06AF">
        <w:rPr>
          <w:rFonts w:hint="cs"/>
          <w:rtl/>
        </w:rPr>
        <w:t>2/1/2025</w:t>
      </w:r>
      <w:r>
        <w:rPr>
          <w:rFonts w:hint="cs"/>
          <w:rtl/>
        </w:rPr>
        <w:t xml:space="preserve"> </w:t>
      </w:r>
      <w:r>
        <w:rPr>
          <w:rtl/>
        </w:rPr>
        <w:t>–</w:t>
      </w:r>
      <w:r>
        <w:rPr>
          <w:rFonts w:hint="cs"/>
          <w:rtl/>
        </w:rPr>
        <w:t xml:space="preserve"> עניינה של תביעה זו </w:t>
      </w:r>
      <w:r w:rsidR="00F1177A">
        <w:rPr>
          <w:rFonts w:hint="cs"/>
          <w:rtl/>
        </w:rPr>
        <w:t xml:space="preserve">גם הוא </w:t>
      </w:r>
      <w:r>
        <w:rPr>
          <w:rFonts w:hint="cs"/>
          <w:rtl/>
        </w:rPr>
        <w:t>בתביעה לפי סעיף 58(א) לחוק המקרקעין שהגישה הנציגות בהרכבה דהיום נגד המבקשים</w:t>
      </w:r>
      <w:r w:rsidR="00F1177A">
        <w:rPr>
          <w:rFonts w:hint="cs"/>
          <w:rtl/>
        </w:rPr>
        <w:t xml:space="preserve"> ובעלי דירות נוספים</w:t>
      </w:r>
      <w:r>
        <w:rPr>
          <w:rFonts w:hint="cs"/>
          <w:rtl/>
        </w:rPr>
        <w:t xml:space="preserve">. אציין כי בא כוח המבקשים ייצג בהליך זה את מרביתם המוחלט של הנתבעים. בהסכמת הצדדים ניתן במהלך הדיון פסק </w:t>
      </w:r>
      <w:r w:rsidR="007C0832">
        <w:rPr>
          <w:rFonts w:hint="cs"/>
          <w:rtl/>
        </w:rPr>
        <w:t xml:space="preserve">דין </w:t>
      </w:r>
      <w:r>
        <w:rPr>
          <w:rFonts w:hint="cs"/>
          <w:rtl/>
        </w:rPr>
        <w:t xml:space="preserve">לגבי כלל </w:t>
      </w:r>
      <w:r w:rsidR="00F1177A">
        <w:rPr>
          <w:rFonts w:hint="cs"/>
          <w:rtl/>
        </w:rPr>
        <w:t xml:space="preserve">הנתבעים </w:t>
      </w:r>
      <w:r>
        <w:rPr>
          <w:rFonts w:hint="cs"/>
          <w:rtl/>
        </w:rPr>
        <w:t xml:space="preserve">שמיוצגים על-ידי בא כוח המבקשים. בהיעדר הסכמה בדבר שאלת הוצאות ניתן פסק דין משלים, אשר חייב חלק מהנתבעים </w:t>
      </w:r>
      <w:r w:rsidR="007C0832">
        <w:rPr>
          <w:rFonts w:hint="cs"/>
          <w:rtl/>
        </w:rPr>
        <w:t>ב</w:t>
      </w:r>
      <w:r>
        <w:rPr>
          <w:rFonts w:hint="cs"/>
          <w:rtl/>
        </w:rPr>
        <w:t>הוצאות</w:t>
      </w:r>
      <w:r w:rsidR="007C0832">
        <w:rPr>
          <w:rFonts w:hint="cs"/>
          <w:rtl/>
        </w:rPr>
        <w:t xml:space="preserve"> התובעת</w:t>
      </w:r>
      <w:r>
        <w:rPr>
          <w:rFonts w:hint="cs"/>
          <w:rtl/>
        </w:rPr>
        <w:t xml:space="preserve">, מהסיבות אשר מפורטות בפסק הדין המשלים (ראו: עמוד 17 שורה 26 עד עמוד 19 שורה 10 לפרוטוקול הדיון). להשלמת התמונה אציין כי ביום </w:t>
      </w:r>
      <w:r w:rsidRPr="00DF06AF">
        <w:rPr>
          <w:rFonts w:hint="cs"/>
          <w:rtl/>
        </w:rPr>
        <w:t>4.5.2025</w:t>
      </w:r>
      <w:r>
        <w:rPr>
          <w:rFonts w:hint="cs"/>
          <w:rtl/>
        </w:rPr>
        <w:t xml:space="preserve"> ניתן פסק דין בהיעדר הגנה נגד נתבעים שלא הגישו כתבי הגנה, ובכך הסתיים הטיפול בהליך.</w:t>
      </w:r>
    </w:p>
    <w:p w14:paraId="47532874" w14:textId="7602534F" w:rsidR="00570DA1" w:rsidRDefault="00570DA1" w:rsidP="00570DA1">
      <w:pPr>
        <w:pStyle w:val="ac"/>
        <w:numPr>
          <w:ilvl w:val="0"/>
          <w:numId w:val="15"/>
        </w:numPr>
        <w:spacing w:before="100" w:beforeAutospacing="1" w:after="240" w:line="360" w:lineRule="auto"/>
        <w:contextualSpacing w:val="0"/>
        <w:jc w:val="both"/>
      </w:pPr>
      <w:r>
        <w:rPr>
          <w:rFonts w:hint="cs"/>
          <w:rtl/>
        </w:rPr>
        <w:t xml:space="preserve">בסוף הדיון ניתנה החלטה בעניין הגשת טענות בנוגע לשאלה </w:t>
      </w:r>
      <w:r w:rsidRPr="00DF06AF">
        <w:rPr>
          <w:rFonts w:hint="cs"/>
          <w:rtl/>
        </w:rPr>
        <w:t>האם</w:t>
      </w:r>
      <w:r>
        <w:rPr>
          <w:rFonts w:hint="cs"/>
          <w:rtl/>
        </w:rPr>
        <w:t xml:space="preserve"> על </w:t>
      </w:r>
      <w:r w:rsidR="007C0832">
        <w:rPr>
          <w:rFonts w:hint="cs"/>
          <w:rtl/>
        </w:rPr>
        <w:t>הממונה</w:t>
      </w:r>
      <w:r>
        <w:rPr>
          <w:rFonts w:hint="cs"/>
          <w:rtl/>
        </w:rPr>
        <w:t xml:space="preserve"> להעביר לידי הנציגות את המסמכים שברשותה, אותם ריכזה במהלך ההכנה לניהול האסיפה הכללית (ראו: עמוד 20 לפרוטוקול הדיון). </w:t>
      </w:r>
    </w:p>
    <w:p w14:paraId="5C43C301" w14:textId="77777777" w:rsidR="00570DA1" w:rsidRDefault="00570DA1" w:rsidP="00570DA1">
      <w:pPr>
        <w:pStyle w:val="ac"/>
        <w:numPr>
          <w:ilvl w:val="0"/>
          <w:numId w:val="15"/>
        </w:numPr>
        <w:spacing w:before="100" w:beforeAutospacing="1" w:after="240" w:line="360" w:lineRule="auto"/>
        <w:contextualSpacing w:val="0"/>
        <w:jc w:val="both"/>
      </w:pPr>
      <w:r>
        <w:rPr>
          <w:rFonts w:hint="cs"/>
          <w:rtl/>
        </w:rPr>
        <w:t>לקראת סופו של הדיון הצהיר בא כוח המבקשים כי המותב נוטה לטובת המשיבים ופועל במשוא פנים, וכפי שבאו הדברים לידי ביטוי בפרוטוקול הדיון: "אני טוען שיש משוא פנים, אני לא מבקש פסילה בוא נהיה ריאליים נחסוך בהליכים והוצאות אבל אני עומד על כך שיש משוא פנים" (ראו: עמוד 19 שורות 32-30 לפרוטוקול הדיון).</w:t>
      </w:r>
    </w:p>
    <w:p w14:paraId="2E9CE78A" w14:textId="77777777" w:rsidR="00570DA1" w:rsidRDefault="00570DA1" w:rsidP="00C77800">
      <w:pPr>
        <w:spacing w:before="100" w:beforeAutospacing="1" w:after="240" w:line="360" w:lineRule="auto"/>
        <w:contextualSpacing w:val="0"/>
        <w:jc w:val="both"/>
        <w:outlineLvl w:val="1"/>
        <w:rPr>
          <w:b/>
          <w:bCs/>
          <w:u w:val="single"/>
          <w:rtl/>
        </w:rPr>
      </w:pPr>
      <w:r>
        <w:rPr>
          <w:rFonts w:hint="cs"/>
          <w:b/>
          <w:bCs/>
          <w:u w:val="single"/>
          <w:rtl/>
        </w:rPr>
        <w:t xml:space="preserve">הבקשה שלפניי </w:t>
      </w:r>
    </w:p>
    <w:p w14:paraId="546B5B5E" w14:textId="77777777" w:rsidR="00570DA1" w:rsidRDefault="00570DA1" w:rsidP="00570DA1">
      <w:pPr>
        <w:pStyle w:val="ac"/>
        <w:numPr>
          <w:ilvl w:val="0"/>
          <w:numId w:val="15"/>
        </w:numPr>
        <w:spacing w:before="100" w:beforeAutospacing="1" w:after="240" w:line="360" w:lineRule="auto"/>
        <w:contextualSpacing w:val="0"/>
        <w:jc w:val="both"/>
      </w:pPr>
      <w:r>
        <w:rPr>
          <w:rFonts w:hint="cs"/>
          <w:rtl/>
        </w:rPr>
        <w:t xml:space="preserve">ביום </w:t>
      </w:r>
      <w:r w:rsidRPr="00DF06AF">
        <w:rPr>
          <w:rFonts w:hint="cs"/>
          <w:rtl/>
        </w:rPr>
        <w:t>6.5.2025</w:t>
      </w:r>
      <w:r>
        <w:rPr>
          <w:rFonts w:hint="cs"/>
          <w:rtl/>
        </w:rPr>
        <w:t xml:space="preserve"> הגישו המבקשים את הבקשה שלפניי, ובה ביקשו כי אפסול את עצמי מלדון בעניינם, בטענה שהתנהלותי עד לשלב זה מוכיחה משוא פנים, וכי אין להם אמון ביכולתי להמשיך ולדון דין צדק בעניינם. הבקשה כוללת פרטים רבים מאוד, ומתייחסת לנושאים</w:t>
      </w:r>
      <w:r w:rsidRPr="00DF06AF">
        <w:rPr>
          <w:rtl/>
        </w:rPr>
        <w:t xml:space="preserve"> ולעניינים</w:t>
      </w:r>
      <w:r>
        <w:rPr>
          <w:rFonts w:hint="cs"/>
          <w:rtl/>
        </w:rPr>
        <w:t xml:space="preserve"> שונים. </w:t>
      </w:r>
    </w:p>
    <w:p w14:paraId="359D14DE" w14:textId="77777777" w:rsidR="00570DA1" w:rsidRDefault="00570DA1" w:rsidP="00570DA1">
      <w:pPr>
        <w:pStyle w:val="ac"/>
        <w:numPr>
          <w:ilvl w:val="0"/>
          <w:numId w:val="15"/>
        </w:numPr>
        <w:spacing w:before="100" w:beforeAutospacing="1" w:after="240" w:line="360" w:lineRule="auto"/>
        <w:contextualSpacing w:val="0"/>
        <w:jc w:val="both"/>
      </w:pPr>
      <w:r>
        <w:rPr>
          <w:rFonts w:hint="cs"/>
          <w:rtl/>
        </w:rPr>
        <w:t xml:space="preserve">נדמה שטענתם המרכזים של המבקשים נוגעת לכך שהם סבורים שלא אאפשר דיון אפקטיבי בטענתם בדבר פרשנות התקנון המוסכם של הבית המשותף, הסוגיה שבמרכז תביעה 2/119/2024. לתמיכה בטענתם זו מציגים המבקשים את הטיעונים הבאים: כבר ביום </w:t>
      </w:r>
      <w:r w:rsidRPr="00DF06AF">
        <w:rPr>
          <w:rFonts w:hint="cs"/>
          <w:rtl/>
        </w:rPr>
        <w:t>10.3.2025</w:t>
      </w:r>
      <w:r>
        <w:rPr>
          <w:rFonts w:hint="cs"/>
          <w:rtl/>
        </w:rPr>
        <w:t xml:space="preserve"> הבעתי דעתי שיש להורות על מחיקת ההליך; במהלך הדיון שאלתי את המשיבים </w:t>
      </w:r>
      <w:r w:rsidRPr="00DF06AF">
        <w:rPr>
          <w:rFonts w:hint="cs"/>
          <w:rtl/>
        </w:rPr>
        <w:t>האם</w:t>
      </w:r>
      <w:r>
        <w:rPr>
          <w:rFonts w:hint="cs"/>
          <w:rtl/>
        </w:rPr>
        <w:t xml:space="preserve"> יש להם את הרוב הדרוש לתיקון התקנון המוסכם; במהלך הדיון הוריתי מיוזמתי על תיקון כתב התביעה בדרך של הוספת נתבעים, על-אף התנגדותו הנחרצת והמנומקת של בא-</w:t>
      </w:r>
      <w:r>
        <w:rPr>
          <w:rFonts w:hint="cs"/>
          <w:rtl/>
        </w:rPr>
        <w:lastRenderedPageBreak/>
        <w:t xml:space="preserve">כוח המבקשים, ועל-אף שיהיה בכך כדי לדחות לתקופה משמעותית את בירור טענת המבקשים בנוגע לפרשנות התקנון המוסכם. </w:t>
      </w:r>
    </w:p>
    <w:p w14:paraId="66365BD1" w14:textId="6117BD38" w:rsidR="00570DA1" w:rsidRDefault="00570DA1" w:rsidP="00570DA1">
      <w:pPr>
        <w:pStyle w:val="ac"/>
        <w:numPr>
          <w:ilvl w:val="0"/>
          <w:numId w:val="15"/>
        </w:numPr>
        <w:spacing w:before="100" w:beforeAutospacing="1" w:after="240" w:line="360" w:lineRule="auto"/>
        <w:contextualSpacing w:val="0"/>
        <w:jc w:val="both"/>
      </w:pPr>
      <w:r>
        <w:rPr>
          <w:rFonts w:hint="cs"/>
          <w:rtl/>
        </w:rPr>
        <w:t xml:space="preserve">נוסף על האמור נטען כי התנהלותי מגלה על משוא פנים ועל נטייה לטובת המשיבים. בעניין זה נטען כי במהלך הדיון הכתבתי לפרוטוקול טענות מפי באת כוח המשיבים, במסגרת בקשת המשיבים לפסיקת הוצאות בתביעה </w:t>
      </w:r>
      <w:r w:rsidRPr="00DF06AF">
        <w:rPr>
          <w:rFonts w:hint="cs"/>
          <w:rtl/>
        </w:rPr>
        <w:t>2/1/2025</w:t>
      </w:r>
      <w:r>
        <w:rPr>
          <w:rFonts w:hint="cs"/>
          <w:rtl/>
        </w:rPr>
        <w:t xml:space="preserve">; כן נטען בעניין זה כי בעוד שקיבלתי את בקשת הצדדים למחיקת תביעה 2/147/2023 ללא צו להוצאות, במסגרת תביעה </w:t>
      </w:r>
      <w:r w:rsidRPr="00DF06AF">
        <w:rPr>
          <w:rFonts w:hint="cs"/>
          <w:rtl/>
        </w:rPr>
        <w:t>2/1/2025</w:t>
      </w:r>
      <w:r>
        <w:rPr>
          <w:rFonts w:hint="cs"/>
          <w:rtl/>
        </w:rPr>
        <w:t xml:space="preserve"> ניתן צו להוצאות; החלטות שקיבלתי בקשר עם הבחירות לנציגות</w:t>
      </w:r>
      <w:r w:rsidR="00EB13EF">
        <w:rPr>
          <w:rFonts w:hint="cs"/>
          <w:rtl/>
        </w:rPr>
        <w:t>,</w:t>
      </w:r>
      <w:r>
        <w:rPr>
          <w:rFonts w:hint="cs"/>
          <w:rtl/>
        </w:rPr>
        <w:t xml:space="preserve"> בתקופה שבין ינואר למרץ 2025</w:t>
      </w:r>
      <w:r w:rsidR="00EB13EF">
        <w:rPr>
          <w:rFonts w:hint="cs"/>
          <w:rtl/>
        </w:rPr>
        <w:t>,</w:t>
      </w:r>
      <w:r>
        <w:rPr>
          <w:rFonts w:hint="cs"/>
          <w:rtl/>
        </w:rPr>
        <w:t xml:space="preserve"> התקבלו בניגוד לפסקי דין שניתנו בבית המשפט העליון ובבית המשפט המחוזי, באופן שמרע עם המבקשים; התעלמתי מבקשה שהגישו המבקשים ביום </w:t>
      </w:r>
      <w:r w:rsidRPr="00DF06AF">
        <w:rPr>
          <w:rFonts w:hint="cs"/>
          <w:rtl/>
        </w:rPr>
        <w:t>27.8.2024</w:t>
      </w:r>
      <w:r>
        <w:rPr>
          <w:rFonts w:hint="cs"/>
          <w:rtl/>
        </w:rPr>
        <w:t>.</w:t>
      </w:r>
    </w:p>
    <w:p w14:paraId="4E6D5297" w14:textId="77777777" w:rsidR="00570DA1" w:rsidRDefault="00570DA1" w:rsidP="00570DA1">
      <w:pPr>
        <w:pStyle w:val="ac"/>
        <w:numPr>
          <w:ilvl w:val="0"/>
          <w:numId w:val="15"/>
        </w:numPr>
        <w:spacing w:before="100" w:beforeAutospacing="1" w:after="240" w:line="360" w:lineRule="auto"/>
        <w:contextualSpacing w:val="0"/>
        <w:jc w:val="both"/>
      </w:pPr>
      <w:r>
        <w:rPr>
          <w:rFonts w:hint="cs"/>
          <w:rtl/>
        </w:rPr>
        <w:t>לבסוף, נטענו טענות כלליות בנוגע להתנהלותי, שעל-פניו אינן מגלות משוא פנים, אולם מגלות לטענת המבקשים על האופן הכללי של התנהלותי. בעניין זה נטען כי החלטתי מראש על ניהול פרוטוקול באופן שאינו מציג באופן מלא את הערותיי, וכי אתר האינטרנט של לשכת המפקח על רישום מקרקעין מנוהל "באופן בלתי מסודר לשון ההמעטה".</w:t>
      </w:r>
    </w:p>
    <w:p w14:paraId="530659C0" w14:textId="77777777" w:rsidR="00570DA1" w:rsidRPr="00046AFF" w:rsidRDefault="00570DA1" w:rsidP="00C77800">
      <w:pPr>
        <w:spacing w:before="100" w:beforeAutospacing="1" w:after="240" w:line="360" w:lineRule="auto"/>
        <w:contextualSpacing w:val="0"/>
        <w:jc w:val="both"/>
        <w:outlineLvl w:val="1"/>
        <w:rPr>
          <w:b/>
          <w:bCs/>
          <w:u w:val="single"/>
        </w:rPr>
      </w:pPr>
      <w:r>
        <w:rPr>
          <w:rFonts w:hint="cs"/>
          <w:b/>
          <w:bCs/>
          <w:u w:val="single"/>
          <w:rtl/>
        </w:rPr>
        <w:t>דיון והכרעה</w:t>
      </w:r>
    </w:p>
    <w:p w14:paraId="35ADEDFF" w14:textId="311EF38F" w:rsidR="00570DA1" w:rsidRDefault="00570DA1" w:rsidP="009C6D05">
      <w:pPr>
        <w:pStyle w:val="ac"/>
        <w:numPr>
          <w:ilvl w:val="0"/>
          <w:numId w:val="15"/>
        </w:numPr>
        <w:spacing w:before="100" w:beforeAutospacing="1" w:after="240" w:line="360" w:lineRule="auto"/>
        <w:contextualSpacing w:val="0"/>
        <w:jc w:val="both"/>
      </w:pPr>
      <w:r>
        <w:rPr>
          <w:rFonts w:hint="cs"/>
          <w:rtl/>
        </w:rPr>
        <w:t>סעיף 77א</w:t>
      </w:r>
      <w:r w:rsidRPr="00DF06AF">
        <w:rPr>
          <w:rFonts w:hint="cs"/>
          <w:rtl/>
        </w:rPr>
        <w:t>(</w:t>
      </w:r>
      <w:r>
        <w:rPr>
          <w:rFonts w:hint="cs"/>
          <w:rtl/>
        </w:rPr>
        <w:t>א) לחוק בתי המשפט קובע כי "</w:t>
      </w:r>
      <w:r w:rsidRPr="00046AFF">
        <w:rPr>
          <w:rtl/>
        </w:rPr>
        <w:t>שופט לא ישב בדין אם מצא, מיזמתו או לבקשת בעל דין, כי קיימות נסיבות שיש בהן כדי ליצור חשש ממשי למשוא פנים בניהול המשפט</w:t>
      </w:r>
      <w:r>
        <w:rPr>
          <w:rFonts w:hint="cs"/>
          <w:rtl/>
        </w:rPr>
        <w:t xml:space="preserve">." בעניין זה נקבע </w:t>
      </w:r>
      <w:r w:rsidR="00EB13EF">
        <w:rPr>
          <w:rFonts w:hint="cs"/>
          <w:rtl/>
        </w:rPr>
        <w:t xml:space="preserve">כי </w:t>
      </w:r>
      <w:r>
        <w:rPr>
          <w:rFonts w:hint="cs"/>
          <w:rtl/>
        </w:rPr>
        <w:t>עילת פסלות תקום "</w:t>
      </w:r>
      <w:r w:rsidRPr="00E047BB">
        <w:rPr>
          <w:rtl/>
        </w:rPr>
        <w:t>רק במקרים קיצוניים וחריגים, שבהם העשייה השיפוטית מלמדת כשלעצמה על נעילת דעתו של</w:t>
      </w:r>
      <w:r>
        <w:rPr>
          <w:rFonts w:hint="cs"/>
          <w:rtl/>
        </w:rPr>
        <w:t xml:space="preserve"> </w:t>
      </w:r>
      <w:r w:rsidRPr="00E047BB">
        <w:rPr>
          <w:rtl/>
        </w:rPr>
        <w:t>המותב או על דעה קדומה מצדו" (</w:t>
      </w:r>
      <w:r>
        <w:rPr>
          <w:rFonts w:hint="cs"/>
          <w:rtl/>
        </w:rPr>
        <w:t xml:space="preserve">ראו: </w:t>
      </w:r>
      <w:r w:rsidRPr="00E047BB">
        <w:rPr>
          <w:rtl/>
        </w:rPr>
        <w:t>עפ"ס 64067-09-24 </w:t>
      </w:r>
      <w:r w:rsidRPr="00E047BB">
        <w:rPr>
          <w:b/>
          <w:bCs/>
          <w:rtl/>
        </w:rPr>
        <w:t>קריית חנוך מבשרת ציון בהרי ירושלים נ' קול מבשר בהרי ירושלים</w:t>
      </w:r>
      <w:r>
        <w:rPr>
          <w:rFonts w:hint="cs"/>
          <w:rtl/>
        </w:rPr>
        <w:t xml:space="preserve">, </w:t>
      </w:r>
      <w:r w:rsidRPr="00E047BB">
        <w:rPr>
          <w:rtl/>
        </w:rPr>
        <w:t>פסקה 6 והאסמכתאות שם</w:t>
      </w:r>
      <w:r>
        <w:rPr>
          <w:rFonts w:hint="cs"/>
          <w:rtl/>
        </w:rPr>
        <w:t xml:space="preserve"> (11.11.2024)). כן נפסק כי </w:t>
      </w:r>
      <w:r w:rsidRPr="00A52F7F">
        <w:rPr>
          <w:rtl/>
        </w:rPr>
        <w:t>"</w:t>
      </w:r>
      <w:r w:rsidRPr="00DF06AF">
        <w:rPr>
          <w:rtl/>
        </w:rPr>
        <w:t>על מנת</w:t>
      </w:r>
      <w:r w:rsidRPr="00A52F7F">
        <w:rPr>
          <w:rtl/>
        </w:rPr>
        <w:t xml:space="preserve"> להוכיח טענת פסלות, על המערער להראות נסיבות אובייקטיביות המצביעות על חשש ממשי למשוא פנים, ולא די בתחושותיו הסובייקטיביות</w:t>
      </w:r>
      <w:r>
        <w:rPr>
          <w:rFonts w:hint="cs"/>
          <w:rtl/>
        </w:rPr>
        <w:t xml:space="preserve">" (ראו: </w:t>
      </w:r>
      <w:r w:rsidRPr="00A52F7F">
        <w:rPr>
          <w:rtl/>
        </w:rPr>
        <w:t>עפ"ס 19199-02-25 </w:t>
      </w:r>
      <w:r w:rsidRPr="00A52F7F">
        <w:rPr>
          <w:b/>
          <w:bCs/>
          <w:rtl/>
        </w:rPr>
        <w:t>פלוני נ' פלונית</w:t>
      </w:r>
      <w:r>
        <w:rPr>
          <w:rFonts w:hint="cs"/>
          <w:rtl/>
        </w:rPr>
        <w:t>, פסקה 5</w:t>
      </w:r>
      <w:r w:rsidRPr="00A52F7F">
        <w:rPr>
          <w:rtl/>
        </w:rPr>
        <w:t> (29.3.2025)</w:t>
      </w:r>
      <w:r>
        <w:rPr>
          <w:rFonts w:hint="cs"/>
          <w:rtl/>
        </w:rPr>
        <w:t>).</w:t>
      </w:r>
    </w:p>
    <w:p w14:paraId="6C9021E8" w14:textId="152C6237" w:rsidR="00570DA1" w:rsidRDefault="00570DA1" w:rsidP="00570DA1">
      <w:pPr>
        <w:pStyle w:val="ac"/>
        <w:numPr>
          <w:ilvl w:val="0"/>
          <w:numId w:val="15"/>
        </w:numPr>
        <w:spacing w:before="100" w:beforeAutospacing="1" w:after="240" w:line="360" w:lineRule="auto"/>
        <w:contextualSpacing w:val="0"/>
        <w:jc w:val="both"/>
      </w:pPr>
      <w:r>
        <w:rPr>
          <w:rFonts w:hint="cs"/>
          <w:rtl/>
        </w:rPr>
        <w:t>לאחר שחזרתי ועיינתי היטב</w:t>
      </w:r>
      <w:r w:rsidR="00EB13EF">
        <w:rPr>
          <w:rFonts w:hint="cs"/>
          <w:rtl/>
        </w:rPr>
        <w:t xml:space="preserve"> בבקשה,</w:t>
      </w:r>
      <w:r>
        <w:rPr>
          <w:rFonts w:hint="cs"/>
          <w:rtl/>
        </w:rPr>
        <w:t xml:space="preserve"> בפרוטוקול הדיון ובכלל ההחלטות שהתקבלו בעניינם של הצדדים, נחה דעתי כי דין הבקשה להידחות, משום שהיא נשענת על תחושותיהם הסובייקטיביות של המבקשים, שאין להן עיגון בנסיבות אובייקטיביות.</w:t>
      </w:r>
    </w:p>
    <w:p w14:paraId="7071AC0D" w14:textId="77777777" w:rsidR="00570DA1" w:rsidRDefault="00570DA1" w:rsidP="00570DA1">
      <w:pPr>
        <w:pStyle w:val="ac"/>
        <w:numPr>
          <w:ilvl w:val="0"/>
          <w:numId w:val="15"/>
        </w:numPr>
        <w:spacing w:before="100" w:beforeAutospacing="1" w:after="240" w:line="360" w:lineRule="auto"/>
        <w:contextualSpacing w:val="0"/>
        <w:jc w:val="both"/>
      </w:pPr>
      <w:r>
        <w:rPr>
          <w:rFonts w:hint="cs"/>
          <w:rtl/>
        </w:rPr>
        <w:t xml:space="preserve">אפתח בהתייחסות לנושא שנראה שעומד בבסיס הבקשה והוא טענת המבקשים לפיה לא אאפשר דיון אפקטיבי בנושא פרשנות התקנון המוסכם. בעניין זה נסמכים המבקשים על שלוש טענות: (1) החלטתי מיום </w:t>
      </w:r>
      <w:r w:rsidRPr="00DF06AF">
        <w:rPr>
          <w:rFonts w:hint="cs"/>
          <w:rtl/>
        </w:rPr>
        <w:t>10.3.2025</w:t>
      </w:r>
      <w:r>
        <w:rPr>
          <w:rFonts w:hint="cs"/>
          <w:rtl/>
        </w:rPr>
        <w:t xml:space="preserve"> שבה קבעתי כי נראה שהדיון בתביעה 2/119/2024 </w:t>
      </w:r>
      <w:r>
        <w:rPr>
          <w:rFonts w:hint="cs"/>
          <w:rtl/>
        </w:rPr>
        <w:lastRenderedPageBreak/>
        <w:t>הסתיים; (2)</w:t>
      </w:r>
      <w:r>
        <w:rPr>
          <w:rFonts w:hint="cs"/>
        </w:rPr>
        <w:t xml:space="preserve"> </w:t>
      </w:r>
      <w:r>
        <w:rPr>
          <w:rFonts w:hint="cs"/>
          <w:rtl/>
        </w:rPr>
        <w:t xml:space="preserve">שאלתי את המשיבים </w:t>
      </w:r>
      <w:r w:rsidRPr="00DF06AF">
        <w:rPr>
          <w:rFonts w:hint="cs"/>
          <w:rtl/>
        </w:rPr>
        <w:t>האם</w:t>
      </w:r>
      <w:r>
        <w:rPr>
          <w:rFonts w:hint="cs"/>
          <w:rtl/>
        </w:rPr>
        <w:t xml:space="preserve"> יש להם את הרוב הדרוש לתיקון התקנון; ו-(3)</w:t>
      </w:r>
      <w:r>
        <w:rPr>
          <w:rFonts w:hint="cs"/>
        </w:rPr>
        <w:t xml:space="preserve"> </w:t>
      </w:r>
      <w:r>
        <w:rPr>
          <w:rFonts w:hint="cs"/>
          <w:rtl/>
        </w:rPr>
        <w:t xml:space="preserve">החלטתי בדבר תיקון כתב התביעה בדרך של הוספת נתבעים. </w:t>
      </w:r>
    </w:p>
    <w:p w14:paraId="53E268C8" w14:textId="12509B0C" w:rsidR="00570DA1" w:rsidRDefault="00570DA1" w:rsidP="00570DA1">
      <w:pPr>
        <w:pStyle w:val="ac"/>
        <w:numPr>
          <w:ilvl w:val="0"/>
          <w:numId w:val="15"/>
        </w:numPr>
        <w:spacing w:before="100" w:beforeAutospacing="1" w:after="240" w:line="360" w:lineRule="auto"/>
        <w:contextualSpacing w:val="0"/>
        <w:jc w:val="both"/>
      </w:pPr>
      <w:r>
        <w:rPr>
          <w:rFonts w:hint="cs"/>
          <w:rtl/>
        </w:rPr>
        <w:t xml:space="preserve">בנוגע להתייחסות המבקשים להחלטתי מיום </w:t>
      </w:r>
      <w:r w:rsidRPr="00DF06AF">
        <w:rPr>
          <w:rFonts w:hint="cs"/>
          <w:rtl/>
        </w:rPr>
        <w:t>10.3.2025</w:t>
      </w:r>
      <w:r>
        <w:rPr>
          <w:rFonts w:hint="cs"/>
          <w:rtl/>
        </w:rPr>
        <w:t>, הרי שמדובר בהחלטה שהתקבלה לפני זמן רב (כחודשיים לפני הגשת הבקשה לפסילה), כאשר עד להגשת הבקשה שלפניי לא נטענה כל טענה בעניין זה. תקנה 173(א) לתקנות</w:t>
      </w:r>
      <w:r w:rsidR="00EB13EF">
        <w:rPr>
          <w:rFonts w:hint="cs"/>
          <w:rtl/>
        </w:rPr>
        <w:t xml:space="preserve"> </w:t>
      </w:r>
      <w:r>
        <w:rPr>
          <w:rFonts w:hint="cs"/>
          <w:rtl/>
        </w:rPr>
        <w:t xml:space="preserve">קובעת כי בקשה לפסלות שופט תוגש "מיד לאחר שנודע לבעל הדין על עילת הפסלות ולפני כל טענה אחרת". בהינתן האמור, אני דוחה את הטענה לפיה יש בהחלטתי מיום </w:t>
      </w:r>
      <w:r w:rsidRPr="00DF06AF">
        <w:rPr>
          <w:rFonts w:hint="cs"/>
          <w:rtl/>
        </w:rPr>
        <w:t>10.3.2025</w:t>
      </w:r>
      <w:r>
        <w:rPr>
          <w:rFonts w:hint="cs"/>
          <w:rtl/>
        </w:rPr>
        <w:t xml:space="preserve"> להביא לפסלות (ראו: </w:t>
      </w:r>
      <w:r w:rsidRPr="00B62D81">
        <w:rPr>
          <w:rtl/>
        </w:rPr>
        <w:t xml:space="preserve">עפ"ס 30008-03-25 </w:t>
      </w:r>
      <w:r w:rsidRPr="00B62D81">
        <w:rPr>
          <w:b/>
          <w:bCs/>
          <w:rtl/>
        </w:rPr>
        <w:t>פלונית נ' משרד הרווחה והשירותים החברתיים חיפה</w:t>
      </w:r>
      <w:r>
        <w:rPr>
          <w:rFonts w:hint="cs"/>
          <w:rtl/>
        </w:rPr>
        <w:t>, פסקה 4</w:t>
      </w:r>
      <w:r w:rsidRPr="00B62D81">
        <w:rPr>
          <w:rtl/>
        </w:rPr>
        <w:t xml:space="preserve"> (23.4.2025)</w:t>
      </w:r>
      <w:r>
        <w:rPr>
          <w:rFonts w:hint="cs"/>
          <w:rtl/>
        </w:rPr>
        <w:t>).</w:t>
      </w:r>
    </w:p>
    <w:p w14:paraId="2FDA9673" w14:textId="14F10584" w:rsidR="00570DA1" w:rsidRDefault="00570DA1" w:rsidP="00570DA1">
      <w:pPr>
        <w:pStyle w:val="ac"/>
        <w:numPr>
          <w:ilvl w:val="0"/>
          <w:numId w:val="15"/>
        </w:numPr>
        <w:spacing w:before="100" w:beforeAutospacing="1" w:after="240" w:line="360" w:lineRule="auto"/>
        <w:contextualSpacing w:val="0"/>
        <w:jc w:val="both"/>
      </w:pPr>
      <w:r>
        <w:rPr>
          <w:rFonts w:hint="cs"/>
          <w:rtl/>
        </w:rPr>
        <w:t xml:space="preserve">למעלה מהצורך, אבהיר כי החלטתי מיום </w:t>
      </w:r>
      <w:r w:rsidRPr="00DF06AF">
        <w:rPr>
          <w:rFonts w:hint="cs"/>
          <w:rtl/>
        </w:rPr>
        <w:t>10.3.2025</w:t>
      </w:r>
      <w:r>
        <w:rPr>
          <w:rFonts w:hint="cs"/>
          <w:rtl/>
        </w:rPr>
        <w:t xml:space="preserve"> ניתנה בהסתמך על התרשמותי שהנושא המרכזי שעומד בבסיס התביעה הוא זהות חברי הנציגות</w:t>
      </w:r>
      <w:r w:rsidR="00EB13EF">
        <w:rPr>
          <w:rFonts w:hint="cs"/>
          <w:rtl/>
        </w:rPr>
        <w:t>, ולאחר הבחירות החדשות אין צורך בהמשך בירור ההליך</w:t>
      </w:r>
      <w:r>
        <w:rPr>
          <w:rFonts w:hint="cs"/>
          <w:rtl/>
        </w:rPr>
        <w:t xml:space="preserve">. </w:t>
      </w:r>
      <w:r w:rsidR="00EB13EF">
        <w:rPr>
          <w:rFonts w:hint="cs"/>
          <w:rtl/>
        </w:rPr>
        <w:t>התרשמותי זו נבעה מכך ששלושה מבין ארבעת הסעדים שנתבעו בתביעה נגעו באופן ישיר לנציגות ולזהות חבריה, מהיבטים שונים</w:t>
      </w:r>
      <w:r>
        <w:rPr>
          <w:rFonts w:hint="cs"/>
          <w:rtl/>
        </w:rPr>
        <w:t xml:space="preserve">. </w:t>
      </w:r>
      <w:r w:rsidR="00EB13EF">
        <w:rPr>
          <w:rFonts w:hint="cs"/>
          <w:rtl/>
        </w:rPr>
        <w:t>כאמור</w:t>
      </w:r>
      <w:r>
        <w:rPr>
          <w:rFonts w:hint="cs"/>
          <w:rtl/>
        </w:rPr>
        <w:t>, לאחר שהמבקשים הודיעו כי הם עומדים על הסעד שעניינו פרשנות התקנון קבעתי את התיק לדיון, וב</w:t>
      </w:r>
      <w:r w:rsidR="00EB13EF">
        <w:rPr>
          <w:rFonts w:hint="cs"/>
          <w:rtl/>
        </w:rPr>
        <w:t>מהלך ה</w:t>
      </w:r>
      <w:r>
        <w:rPr>
          <w:rFonts w:hint="cs"/>
          <w:rtl/>
        </w:rPr>
        <w:t xml:space="preserve">דיון </w:t>
      </w:r>
      <w:r w:rsidR="00EB13EF">
        <w:rPr>
          <w:rFonts w:hint="cs"/>
          <w:rtl/>
        </w:rPr>
        <w:t xml:space="preserve">קודם </w:t>
      </w:r>
      <w:r>
        <w:rPr>
          <w:rFonts w:hint="cs"/>
          <w:rtl/>
        </w:rPr>
        <w:t>בירור המחלוקת, לרבות חזרתם של המשיבים מטענתם המקדמית בעניין תביעה זו.</w:t>
      </w:r>
    </w:p>
    <w:p w14:paraId="69CDA0D3" w14:textId="3F98A345" w:rsidR="00EB13EF" w:rsidRDefault="00570DA1" w:rsidP="00570DA1">
      <w:pPr>
        <w:pStyle w:val="ac"/>
        <w:numPr>
          <w:ilvl w:val="0"/>
          <w:numId w:val="15"/>
        </w:numPr>
        <w:spacing w:before="100" w:beforeAutospacing="1" w:after="240" w:line="360" w:lineRule="auto"/>
        <w:contextualSpacing w:val="0"/>
        <w:jc w:val="both"/>
      </w:pPr>
      <w:r>
        <w:rPr>
          <w:rFonts w:hint="cs"/>
          <w:rtl/>
        </w:rPr>
        <w:t xml:space="preserve">בנוגע לשאלתי את המשיבים </w:t>
      </w:r>
      <w:r w:rsidRPr="00DF06AF">
        <w:rPr>
          <w:rFonts w:hint="cs"/>
          <w:rtl/>
        </w:rPr>
        <w:t>האם</w:t>
      </w:r>
      <w:r>
        <w:rPr>
          <w:rFonts w:hint="cs"/>
          <w:rtl/>
        </w:rPr>
        <w:t xml:space="preserve"> יש להם רוב לתיקון התקנון. </w:t>
      </w:r>
      <w:r w:rsidR="00EB13EF">
        <w:rPr>
          <w:rFonts w:hint="cs"/>
          <w:rtl/>
        </w:rPr>
        <w:t>אכן שאלתי את המשיבים האם הם סבורים שיש רוב לתיקון התקנון, באופן שיתאם את פרשנותם. עמדתי היא ש</w:t>
      </w:r>
      <w:r>
        <w:rPr>
          <w:rFonts w:hint="cs"/>
          <w:rtl/>
        </w:rPr>
        <w:t xml:space="preserve">במקרים </w:t>
      </w:r>
      <w:r w:rsidRPr="00DF06AF">
        <w:rPr>
          <w:rtl/>
        </w:rPr>
        <w:t xml:space="preserve">בהם </w:t>
      </w:r>
      <w:r>
        <w:rPr>
          <w:rFonts w:hint="cs"/>
          <w:rtl/>
        </w:rPr>
        <w:t>ישנה מחלוקת פרשנ</w:t>
      </w:r>
      <w:r w:rsidR="00EB13EF">
        <w:rPr>
          <w:rFonts w:hint="cs"/>
          <w:rtl/>
        </w:rPr>
        <w:t>י</w:t>
      </w:r>
      <w:r>
        <w:rPr>
          <w:rFonts w:hint="cs"/>
          <w:rtl/>
        </w:rPr>
        <w:t xml:space="preserve">ת </w:t>
      </w:r>
      <w:r w:rsidR="00EB13EF">
        <w:rPr>
          <w:rFonts w:hint="cs"/>
          <w:rtl/>
        </w:rPr>
        <w:t>בנוגע ל</w:t>
      </w:r>
      <w:r>
        <w:rPr>
          <w:rFonts w:hint="cs"/>
          <w:rtl/>
        </w:rPr>
        <w:t xml:space="preserve">תקנון מוסכם, </w:t>
      </w:r>
      <w:r w:rsidR="00EB13EF">
        <w:rPr>
          <w:rFonts w:hint="cs"/>
          <w:rtl/>
        </w:rPr>
        <w:t xml:space="preserve">הדרך המועדפת לפתרון המחלוקת הוא באמצעות החלטה אופרטיבית של בעלי הדירות, שתבהיר את רצונם. בכך תוכרע המחלוקת באופן שמשקף את רצונם של בעלי הדירות, ולא באמצעות הכרעה פרשנית של המפקח על רישום מקרקעין בדבר רצונם המשוער של בעלי הדירות. למען הסר ספק יובהר כי כל עוד לא שונה התקנון, התקנון דהיום הוא התקנון המחייב, והכרעה תינתן בהתאם לו. </w:t>
      </w:r>
    </w:p>
    <w:p w14:paraId="496E477E" w14:textId="5394555A" w:rsidR="00570DA1" w:rsidRDefault="00570DA1" w:rsidP="00570DA1">
      <w:pPr>
        <w:pStyle w:val="ac"/>
        <w:numPr>
          <w:ilvl w:val="0"/>
          <w:numId w:val="15"/>
        </w:numPr>
        <w:spacing w:before="100" w:beforeAutospacing="1" w:after="240" w:line="360" w:lineRule="auto"/>
        <w:contextualSpacing w:val="0"/>
        <w:jc w:val="both"/>
      </w:pPr>
      <w:r>
        <w:rPr>
          <w:rFonts w:hint="cs"/>
          <w:rtl/>
        </w:rPr>
        <w:t>לבסוף, החלטתי לעניין הוספת נתבעים התקבלה בהתאם לסמכותו של שופט בקדם משפט. ההחלטה נומקה והנימוק מדבר בעד עצמו. הלכה ידועה היא כי החלטות שיפוטיות אינן מקימות עילת פסלות אלא במקרים קיצוניים וחריגים</w:t>
      </w:r>
      <w:r w:rsidR="00EB13EF">
        <w:rPr>
          <w:rFonts w:hint="cs"/>
          <w:rtl/>
        </w:rPr>
        <w:t>,</w:t>
      </w:r>
      <w:r w:rsidR="00EB13EF" w:rsidRPr="00EB13EF">
        <w:rPr>
          <w:rFonts w:hint="cs"/>
          <w:rtl/>
        </w:rPr>
        <w:t xml:space="preserve"> </w:t>
      </w:r>
      <w:r w:rsidR="00EB13EF">
        <w:rPr>
          <w:rFonts w:hint="cs"/>
          <w:rtl/>
        </w:rPr>
        <w:t xml:space="preserve">וכי הדרך להשגה על החלטות אלה אינה באמצעות בקשה לפסלות, אלא באמצעות ערעור על ההחלטה (ראו: ע"א 308-24 </w:t>
      </w:r>
      <w:r w:rsidR="00EB13EF" w:rsidRPr="007A0653">
        <w:rPr>
          <w:rFonts w:hint="cs"/>
          <w:b/>
          <w:bCs/>
          <w:rtl/>
        </w:rPr>
        <w:t>פלוני נ' פלונית</w:t>
      </w:r>
      <w:r w:rsidR="00EB13EF">
        <w:rPr>
          <w:rFonts w:hint="cs"/>
          <w:rtl/>
        </w:rPr>
        <w:t>, פסקה 7 (21.4.2024)). יצוין כי הלכה זו נקבעה גם ביחס ל</w:t>
      </w:r>
      <w:r>
        <w:rPr>
          <w:rFonts w:hint="cs"/>
          <w:rtl/>
        </w:rPr>
        <w:t xml:space="preserve">הצטברות החלטות לטובת צד אחד, </w:t>
      </w:r>
      <w:r w:rsidR="00EB13EF">
        <w:rPr>
          <w:rFonts w:hint="cs"/>
          <w:rtl/>
        </w:rPr>
        <w:t xml:space="preserve">וגם כאשר במסגרת אותן החלטות בית המשפט הביע בצורה ברורה ומפורשת את דעתו בנוגע לסוגיה שבפניו (ראו: </w:t>
      </w:r>
      <w:r w:rsidR="00EB13EF" w:rsidRPr="00B62D81">
        <w:rPr>
          <w:rtl/>
        </w:rPr>
        <w:t xml:space="preserve">ע"א 461/14 </w:t>
      </w:r>
      <w:r w:rsidR="00EB13EF" w:rsidRPr="00B62D81">
        <w:rPr>
          <w:b/>
          <w:bCs/>
          <w:rtl/>
        </w:rPr>
        <w:t>רוזן נ' ביטון</w:t>
      </w:r>
      <w:r w:rsidR="00EB13EF">
        <w:rPr>
          <w:rFonts w:hint="cs"/>
          <w:rtl/>
        </w:rPr>
        <w:t>, פסקה 10</w:t>
      </w:r>
      <w:r w:rsidR="00EB13EF" w:rsidRPr="00B62D81">
        <w:rPr>
          <w:rtl/>
        </w:rPr>
        <w:t xml:space="preserve"> (14.1.2015)</w:t>
      </w:r>
      <w:r w:rsidR="00EB13EF">
        <w:rPr>
          <w:rFonts w:hint="cs"/>
          <w:rtl/>
        </w:rPr>
        <w:t>). ברור אפוא, כי החלטה דיונית יחידה, במסגרתה אפילו לא הובעה דעה ביחס לסוגיה עצמה, אינה מקימה, כשלעצמה, עילה לפסלות.</w:t>
      </w:r>
    </w:p>
    <w:p w14:paraId="26B98D35" w14:textId="77777777" w:rsidR="00570DA1" w:rsidRDefault="00570DA1" w:rsidP="00570DA1">
      <w:pPr>
        <w:pStyle w:val="ac"/>
        <w:numPr>
          <w:ilvl w:val="0"/>
          <w:numId w:val="15"/>
        </w:numPr>
        <w:spacing w:before="100" w:beforeAutospacing="1" w:after="240" w:line="360" w:lineRule="auto"/>
        <w:contextualSpacing w:val="0"/>
        <w:jc w:val="both"/>
      </w:pPr>
      <w:r>
        <w:rPr>
          <w:rFonts w:hint="cs"/>
          <w:rtl/>
        </w:rPr>
        <w:lastRenderedPageBreak/>
        <w:t xml:space="preserve">בנוגע לטענות המבקשים בדבר התנהלות כללית שמגלה על משוא פנים. בעניין זה טענו המבקשים כדלקמן: (1) הכתבתי לפרוטוקול טענות בשם המשיבים; (2) לא פסקתי למשיבים הוצאות בתביעה 2/147/2023 בעוד שפסקתי לחובת המשיבים הוצאות בתביעה </w:t>
      </w:r>
      <w:r w:rsidRPr="00DF06AF">
        <w:rPr>
          <w:rFonts w:hint="cs"/>
          <w:rtl/>
        </w:rPr>
        <w:t>2/1/2025</w:t>
      </w:r>
      <w:r>
        <w:rPr>
          <w:rFonts w:hint="cs"/>
          <w:rtl/>
        </w:rPr>
        <w:t>; (3)</w:t>
      </w:r>
      <w:r>
        <w:rPr>
          <w:rFonts w:hint="cs"/>
        </w:rPr>
        <w:t xml:space="preserve"> </w:t>
      </w:r>
      <w:r>
        <w:rPr>
          <w:rFonts w:hint="cs"/>
          <w:rtl/>
        </w:rPr>
        <w:t xml:space="preserve">החלטות שקיבלתי בנוגע לניהול הבחירות אינן עולות בקנה אחד עם פסקי דין של בית המשפט העליון ובית המשפט המחוזי; ו-(4) לא התייחסתי לבקשת המבקשים מיום </w:t>
      </w:r>
      <w:r w:rsidRPr="00DF06AF">
        <w:rPr>
          <w:rFonts w:hint="cs"/>
          <w:rtl/>
        </w:rPr>
        <w:t>27.8.2024</w:t>
      </w:r>
      <w:r>
        <w:rPr>
          <w:rFonts w:hint="cs"/>
          <w:rtl/>
        </w:rPr>
        <w:t>.</w:t>
      </w:r>
    </w:p>
    <w:p w14:paraId="376AFB54" w14:textId="77777777" w:rsidR="00570DA1" w:rsidRDefault="00570DA1" w:rsidP="00570DA1">
      <w:pPr>
        <w:pStyle w:val="ac"/>
        <w:numPr>
          <w:ilvl w:val="0"/>
          <w:numId w:val="15"/>
        </w:numPr>
        <w:spacing w:before="100" w:beforeAutospacing="1" w:after="240" w:line="360" w:lineRule="auto"/>
        <w:contextualSpacing w:val="0"/>
        <w:jc w:val="both"/>
      </w:pPr>
      <w:r>
        <w:rPr>
          <w:rFonts w:hint="cs"/>
          <w:rtl/>
        </w:rPr>
        <w:t>ראשית, בקשה לפסלות שופט לא תבוא במקום בקשה לתיקון פרוטוקול (</w:t>
      </w:r>
      <w:r w:rsidRPr="00090520">
        <w:rPr>
          <w:rtl/>
        </w:rPr>
        <w:t xml:space="preserve">עפ"ס 22421-10-24 </w:t>
      </w:r>
      <w:r w:rsidRPr="00646F3D">
        <w:rPr>
          <w:b/>
          <w:bCs/>
          <w:rtl/>
        </w:rPr>
        <w:t>פלונית נ' פלוני</w:t>
      </w:r>
      <w:r>
        <w:rPr>
          <w:rFonts w:hint="cs"/>
          <w:rtl/>
        </w:rPr>
        <w:t>, בפסקה 7</w:t>
      </w:r>
      <w:r w:rsidRPr="00090520">
        <w:rPr>
          <w:rtl/>
        </w:rPr>
        <w:t xml:space="preserve"> (1.12.2024)</w:t>
      </w:r>
      <w:r>
        <w:rPr>
          <w:rFonts w:hint="cs"/>
          <w:rtl/>
        </w:rPr>
        <w:t xml:space="preserve">). הלכה זו נכונה בכלל, והיא נכונה בפרט בנוגע לטענות לפיהן הפרוטוקול אינו משקף את התבטאויותיו של בית המשפט (ראו: ע"א 454/20 </w:t>
      </w:r>
      <w:r w:rsidRPr="00D76A7C">
        <w:rPr>
          <w:rFonts w:hint="eastAsia"/>
          <w:b/>
          <w:bCs/>
          <w:rtl/>
        </w:rPr>
        <w:t>חליאלה</w:t>
      </w:r>
      <w:r w:rsidRPr="00D76A7C">
        <w:rPr>
          <w:b/>
          <w:bCs/>
          <w:rtl/>
        </w:rPr>
        <w:t xml:space="preserve"> </w:t>
      </w:r>
      <w:r w:rsidRPr="00D76A7C">
        <w:rPr>
          <w:rFonts w:hint="eastAsia"/>
          <w:b/>
          <w:bCs/>
          <w:rtl/>
        </w:rPr>
        <w:t>נ</w:t>
      </w:r>
      <w:r w:rsidRPr="00D76A7C">
        <w:rPr>
          <w:b/>
          <w:bCs/>
          <w:rtl/>
        </w:rPr>
        <w:t xml:space="preserve">' </w:t>
      </w:r>
      <w:r w:rsidRPr="00D76A7C">
        <w:rPr>
          <w:rFonts w:hint="eastAsia"/>
          <w:b/>
          <w:bCs/>
          <w:rtl/>
        </w:rPr>
        <w:t>המועצה</w:t>
      </w:r>
      <w:r w:rsidRPr="00D76A7C">
        <w:rPr>
          <w:b/>
          <w:bCs/>
          <w:rtl/>
        </w:rPr>
        <w:t xml:space="preserve"> </w:t>
      </w:r>
      <w:r w:rsidRPr="00D76A7C">
        <w:rPr>
          <w:rFonts w:hint="eastAsia"/>
          <w:b/>
          <w:bCs/>
          <w:rtl/>
        </w:rPr>
        <w:t>המקומית</w:t>
      </w:r>
      <w:r w:rsidRPr="00D76A7C">
        <w:rPr>
          <w:b/>
          <w:bCs/>
          <w:rtl/>
        </w:rPr>
        <w:t xml:space="preserve"> </w:t>
      </w:r>
      <w:r w:rsidRPr="00D76A7C">
        <w:rPr>
          <w:rFonts w:hint="eastAsia"/>
          <w:b/>
          <w:bCs/>
          <w:rtl/>
        </w:rPr>
        <w:t>כפר</w:t>
      </w:r>
      <w:r w:rsidRPr="00D76A7C">
        <w:rPr>
          <w:b/>
          <w:bCs/>
          <w:rtl/>
        </w:rPr>
        <w:t xml:space="preserve"> </w:t>
      </w:r>
      <w:r w:rsidRPr="00D76A7C">
        <w:rPr>
          <w:rFonts w:hint="eastAsia"/>
          <w:b/>
          <w:bCs/>
          <w:rtl/>
        </w:rPr>
        <w:t>משהד</w:t>
      </w:r>
      <w:r>
        <w:rPr>
          <w:rFonts w:hint="cs"/>
          <w:rtl/>
        </w:rPr>
        <w:t xml:space="preserve">, פסקה 8 (1.3.2020)). בהינתן האמור, אני דוחה את כלל הטענות שנוגעות לפרוטוקול הדיון. </w:t>
      </w:r>
    </w:p>
    <w:p w14:paraId="1E388D86" w14:textId="1CAAF598" w:rsidR="00570DA1" w:rsidRDefault="00570DA1" w:rsidP="00570DA1">
      <w:pPr>
        <w:pStyle w:val="ac"/>
        <w:numPr>
          <w:ilvl w:val="0"/>
          <w:numId w:val="15"/>
        </w:numPr>
        <w:spacing w:before="100" w:beforeAutospacing="1" w:after="240" w:line="360" w:lineRule="auto"/>
        <w:contextualSpacing w:val="0"/>
        <w:jc w:val="both"/>
      </w:pPr>
      <w:r>
        <w:rPr>
          <w:rFonts w:hint="cs"/>
          <w:rtl/>
        </w:rPr>
        <w:t xml:space="preserve">הגם שאין בכוונתי להתייחס לטענות המבקשים בנוגע לפרוטוקול, אבהיר כי במהלך הדיון התייחסתי לב"כ המבקשים בכבוד, ואף </w:t>
      </w:r>
      <w:r w:rsidRPr="00DF06AF">
        <w:rPr>
          <w:rtl/>
        </w:rPr>
        <w:t xml:space="preserve">נקטתי </w:t>
      </w:r>
      <w:r>
        <w:rPr>
          <w:rFonts w:hint="cs"/>
          <w:rtl/>
        </w:rPr>
        <w:t xml:space="preserve">גישה ליברלית בנוגע לפרק הזמן שניתן לו לטעון. כך גם איני מבין מדוע יחסו המבקשים את התייחסותי לטענתם בדבר משוא פנים כהתייחסות צינית או מזלזלת. בכל מקרה, ככל שזו הייתה תחושתם של המבקשים, זהו המקום להבהיר שלא כך היא. </w:t>
      </w:r>
    </w:p>
    <w:p w14:paraId="7A9A1682" w14:textId="649F7D21" w:rsidR="00570DA1" w:rsidRDefault="00570DA1" w:rsidP="00570DA1">
      <w:pPr>
        <w:pStyle w:val="ac"/>
        <w:numPr>
          <w:ilvl w:val="0"/>
          <w:numId w:val="15"/>
        </w:numPr>
        <w:spacing w:before="100" w:beforeAutospacing="1" w:after="240" w:line="360" w:lineRule="auto"/>
        <w:contextualSpacing w:val="0"/>
        <w:jc w:val="both"/>
      </w:pPr>
      <w:r>
        <w:rPr>
          <w:rFonts w:hint="cs"/>
          <w:rtl/>
        </w:rPr>
        <w:t xml:space="preserve">שנית, וכאמור לעיל, למעט במקרים חריגים וקיצוניים אין מקום להתייחס להחלטות שיפוטיות במסגרת בקשה לפסלות. הדברים נכונים במיוחד בנוגע </w:t>
      </w:r>
      <w:r w:rsidR="008342E5">
        <w:rPr>
          <w:rFonts w:hint="cs"/>
          <w:rtl/>
        </w:rPr>
        <w:t>להחלטות</w:t>
      </w:r>
      <w:r>
        <w:rPr>
          <w:rFonts w:hint="cs"/>
          <w:rtl/>
        </w:rPr>
        <w:t xml:space="preserve"> שניתנו במהלך הבחירות לנציגות, שבעניינן חלף גם זמן רב יחסית. בהינתן האמור, אני דוחה את כלל טענות המבקשים שנוגעות להחלטות שניתנו. </w:t>
      </w:r>
      <w:r w:rsidRPr="00DF06AF">
        <w:rPr>
          <w:rFonts w:hint="cs"/>
          <w:rtl/>
        </w:rPr>
        <w:t>למען הסר ספק</w:t>
      </w:r>
      <w:r>
        <w:rPr>
          <w:rFonts w:hint="cs"/>
          <w:rtl/>
        </w:rPr>
        <w:t xml:space="preserve"> יובהר כי איני מקבל את טענות המבקשים בנוגע להחלטותיי, אולם איני חושב שיהא זה ראוי לנצל את החלטתי זו לעריכת "מקצה שיפורים" בהחלטותיי הקודמת, בדרך של הרחבת ההנמקה.</w:t>
      </w:r>
    </w:p>
    <w:p w14:paraId="045E6859" w14:textId="77777777" w:rsidR="00570DA1" w:rsidRDefault="00570DA1" w:rsidP="00570DA1">
      <w:pPr>
        <w:pStyle w:val="ac"/>
        <w:numPr>
          <w:ilvl w:val="0"/>
          <w:numId w:val="15"/>
        </w:numPr>
        <w:spacing w:before="100" w:beforeAutospacing="1" w:after="240" w:line="360" w:lineRule="auto"/>
        <w:contextualSpacing w:val="0"/>
        <w:jc w:val="both"/>
      </w:pPr>
      <w:r>
        <w:rPr>
          <w:rFonts w:hint="cs"/>
          <w:rtl/>
        </w:rPr>
        <w:t xml:space="preserve">למעלה מהנדרש אתייחס לחלק מטענות המבקשים לגופן. </w:t>
      </w:r>
    </w:p>
    <w:p w14:paraId="34D5E032" w14:textId="7B86820A" w:rsidR="00570DA1" w:rsidRDefault="00570DA1" w:rsidP="00570DA1">
      <w:pPr>
        <w:pStyle w:val="ac"/>
        <w:numPr>
          <w:ilvl w:val="0"/>
          <w:numId w:val="15"/>
        </w:numPr>
        <w:spacing w:before="100" w:beforeAutospacing="1" w:after="240" w:line="360" w:lineRule="auto"/>
        <w:contextualSpacing w:val="0"/>
        <w:jc w:val="both"/>
      </w:pPr>
      <w:r>
        <w:rPr>
          <w:rFonts w:hint="cs"/>
          <w:rtl/>
        </w:rPr>
        <w:t xml:space="preserve">בנוגע לטענה בדבר הכתבת טענות </w:t>
      </w:r>
      <w:r w:rsidR="008342E5">
        <w:rPr>
          <w:rFonts w:hint="cs"/>
          <w:rtl/>
        </w:rPr>
        <w:t xml:space="preserve">לפרוטוקול </w:t>
      </w:r>
      <w:r>
        <w:rPr>
          <w:rFonts w:hint="cs"/>
          <w:rtl/>
        </w:rPr>
        <w:t>בשם המשיבים. לעתים במהלך דיונים שנערכים בפניי אני מכתיב לפרוטוקו</w:t>
      </w:r>
      <w:r>
        <w:rPr>
          <w:rFonts w:hint="eastAsia"/>
          <w:rtl/>
        </w:rPr>
        <w:t>ל</w:t>
      </w:r>
      <w:r>
        <w:rPr>
          <w:rFonts w:hint="cs"/>
          <w:rtl/>
        </w:rPr>
        <w:t xml:space="preserve"> התייחסויות בשם הצדדים, תוך שמירה על עיקרי הדברים שנאמרו. דבר זה נעשה הן על-מנת לייעל את הדיון, </w:t>
      </w:r>
      <w:r w:rsidRPr="00DF06AF">
        <w:rPr>
          <w:rtl/>
        </w:rPr>
        <w:t xml:space="preserve">כך </w:t>
      </w:r>
      <w:r>
        <w:rPr>
          <w:rFonts w:hint="cs"/>
          <w:rtl/>
        </w:rPr>
        <w:t xml:space="preserve">שטענות הצדדים תהיינה </w:t>
      </w:r>
      <w:r w:rsidRPr="00DF06AF">
        <w:rPr>
          <w:rtl/>
        </w:rPr>
        <w:t>ברורות יותר</w:t>
      </w:r>
      <w:r>
        <w:rPr>
          <w:rFonts w:hint="cs"/>
          <w:rtl/>
        </w:rPr>
        <w:t xml:space="preserve"> והדיון יהיה ענייני יותר, והן כדי לקצר את הפרוטוקול ולאפשר לעבוד איתו בצורה </w:t>
      </w:r>
      <w:r w:rsidRPr="00DF06AF">
        <w:rPr>
          <w:rtl/>
        </w:rPr>
        <w:t>אפקטיבית יותר</w:t>
      </w:r>
      <w:r>
        <w:rPr>
          <w:rFonts w:hint="cs"/>
          <w:rtl/>
        </w:rPr>
        <w:t>. בכל הפעמים</w:t>
      </w:r>
      <w:r w:rsidRPr="00DF06AF">
        <w:rPr>
          <w:rtl/>
        </w:rPr>
        <w:t xml:space="preserve"> שבה</w:t>
      </w:r>
      <w:r>
        <w:rPr>
          <w:rFonts w:hint="cs"/>
          <w:rtl/>
        </w:rPr>
        <w:t>ן</w:t>
      </w:r>
      <w:r w:rsidRPr="00DF06AF">
        <w:rPr>
          <w:rtl/>
        </w:rPr>
        <w:t xml:space="preserve"> </w:t>
      </w:r>
      <w:r>
        <w:rPr>
          <w:rFonts w:hint="cs"/>
          <w:rtl/>
        </w:rPr>
        <w:t>אני עושה זאת, הדבר נעשה לאחר בקשת רשות מהצד שאני מבקש "לדבר בשמו", כאשר הדבר נעשה בגלוי לצדדים</w:t>
      </w:r>
      <w:r w:rsidR="008342E5">
        <w:rPr>
          <w:rFonts w:hint="cs"/>
          <w:rtl/>
        </w:rPr>
        <w:t>, כפי שגם נעשה בענייננו</w:t>
      </w:r>
      <w:r>
        <w:rPr>
          <w:rFonts w:hint="cs"/>
          <w:rtl/>
        </w:rPr>
        <w:t xml:space="preserve">. כמו כן, כאשר צד להליך מסרב לאפשר לי להכתיב את דבריו לפרוטוקול בצורה תמציתית, נרשמים בפרוטוקול דבריו של אותו צד במלואם. כך נעשה גם בענייננו, שעה שהמבקשים סירבו לבקשתי להכתיב </w:t>
      </w:r>
      <w:r>
        <w:rPr>
          <w:rFonts w:hint="cs"/>
          <w:rtl/>
        </w:rPr>
        <w:lastRenderedPageBreak/>
        <w:t xml:space="preserve">את דבריהם בנוגע להוצאות הליך 2/1/2025 לפרוטוקול, וביקשו שהפרוטוקול ישקף את דבריהם במלואם. איני רואה בהתנהלות זו התנהלות פסולה, ובכל מקרה, בהינתן שכך אני נוהג לעשות בתיקים רבים, היא אינה משקפת משוא פנים ביחס לאחד הצדדים. </w:t>
      </w:r>
    </w:p>
    <w:p w14:paraId="0C06AB0B" w14:textId="35D6B944" w:rsidR="00570DA1" w:rsidRPr="00A56D93" w:rsidRDefault="00570DA1" w:rsidP="00570DA1">
      <w:pPr>
        <w:pStyle w:val="ac"/>
        <w:numPr>
          <w:ilvl w:val="0"/>
          <w:numId w:val="15"/>
        </w:numPr>
        <w:spacing w:before="100" w:beforeAutospacing="1" w:after="240" w:line="360" w:lineRule="auto"/>
        <w:contextualSpacing w:val="0"/>
        <w:jc w:val="both"/>
        <w:rPr>
          <w:sz w:val="24"/>
        </w:rPr>
      </w:pPr>
      <w:r>
        <w:rPr>
          <w:rFonts w:hint="cs"/>
          <w:rtl/>
        </w:rPr>
        <w:t xml:space="preserve">בנוגע לטענה בדבר כך שהפרוטוקול אינו משקף את הערותיי. אציין כי טענה זו נאמרה באופן כללי, </w:t>
      </w:r>
      <w:r w:rsidRPr="00DF06AF">
        <w:rPr>
          <w:rtl/>
        </w:rPr>
        <w:t>בלי</w:t>
      </w:r>
      <w:r>
        <w:rPr>
          <w:rFonts w:hint="cs"/>
          <w:rtl/>
        </w:rPr>
        <w:t xml:space="preserve"> להתייחס להערה ספציפית שנאמרה על-ידי במהלך הדיון, ומבלי לטעון שהערות שהושמטו מגלות על משוא פנים. נוכח האמור, הטענה אינה מובנת לי</w:t>
      </w:r>
      <w:r w:rsidR="008342E5">
        <w:rPr>
          <w:rFonts w:hint="cs"/>
          <w:rtl/>
        </w:rPr>
        <w:t xml:space="preserve"> בהקשר של בקשה לפסלות</w:t>
      </w:r>
      <w:r>
        <w:rPr>
          <w:rFonts w:hint="cs"/>
          <w:rtl/>
        </w:rPr>
        <w:t>. מעבר לכך, גם התייחסות להערה ספציפית שהושמטה לא הייתה משנה, שכן מקומה של טענה מעין זו בבקשה לתיקון פרוטוקול ולא במסגרת בקשה לפסלות. לבסוף, לאחר עיון בפרוטוקול הדיון, ועל-אף שעבר זמן מסוים ממועד קיום הדיון, אני מוצא כי הוא משקף את עיקרי הדברים שנאמרו במ</w:t>
      </w:r>
      <w:r w:rsidRPr="00A56D93">
        <w:rPr>
          <w:rFonts w:hint="cs"/>
          <w:sz w:val="24"/>
          <w:rtl/>
        </w:rPr>
        <w:t xml:space="preserve">הלך הדיון (ראו והשוו: </w:t>
      </w:r>
      <w:r w:rsidRPr="00A56D93">
        <w:rPr>
          <w:rFonts w:ascii="David" w:hAnsi="David"/>
          <w:color w:val="000000"/>
          <w:sz w:val="24"/>
          <w:rtl/>
        </w:rPr>
        <w:t xml:space="preserve">רע"א 1739/22 </w:t>
      </w:r>
      <w:r w:rsidRPr="00A56D93">
        <w:rPr>
          <w:rFonts w:ascii="David" w:hAnsi="David"/>
          <w:b/>
          <w:bCs/>
          <w:color w:val="000000"/>
          <w:sz w:val="24"/>
          <w:rtl/>
        </w:rPr>
        <w:t>לוזון נ' ש. שסטוביץ בע"מ</w:t>
      </w:r>
      <w:r w:rsidRPr="00A56D93">
        <w:rPr>
          <w:rFonts w:ascii="David" w:hAnsi="David"/>
          <w:color w:val="000000"/>
          <w:sz w:val="24"/>
          <w:rtl/>
        </w:rPr>
        <w:t xml:space="preserve">, </w:t>
      </w:r>
      <w:r w:rsidRPr="00A56D93">
        <w:rPr>
          <w:rFonts w:ascii="David" w:hAnsi="David" w:hint="eastAsia"/>
          <w:color w:val="000000"/>
          <w:sz w:val="24"/>
          <w:rtl/>
        </w:rPr>
        <w:t>פסקה</w:t>
      </w:r>
      <w:r w:rsidRPr="00A56D93">
        <w:rPr>
          <w:rFonts w:ascii="David" w:hAnsi="David"/>
          <w:color w:val="000000"/>
          <w:sz w:val="24"/>
          <w:rtl/>
        </w:rPr>
        <w:t xml:space="preserve"> 10 (10.07.2022)</w:t>
      </w:r>
      <w:r w:rsidRPr="00A56D93">
        <w:rPr>
          <w:rFonts w:hint="cs"/>
          <w:sz w:val="24"/>
          <w:rtl/>
        </w:rPr>
        <w:t>).</w:t>
      </w:r>
    </w:p>
    <w:p w14:paraId="76DC8668" w14:textId="54D008B7" w:rsidR="00570DA1" w:rsidRDefault="00570DA1" w:rsidP="00570DA1">
      <w:pPr>
        <w:pStyle w:val="ac"/>
        <w:numPr>
          <w:ilvl w:val="0"/>
          <w:numId w:val="15"/>
        </w:numPr>
        <w:spacing w:before="100" w:beforeAutospacing="1" w:after="240" w:line="360" w:lineRule="auto"/>
        <w:contextualSpacing w:val="0"/>
        <w:jc w:val="both"/>
      </w:pPr>
      <w:r w:rsidRPr="00A56D93">
        <w:rPr>
          <w:rFonts w:hint="cs"/>
          <w:sz w:val="24"/>
          <w:rtl/>
        </w:rPr>
        <w:t xml:space="preserve">בנוגע לטענה בדבר התעלמותי מבקשת המבקשים מיום 27.8.2024. עיון בתיק מגלה </w:t>
      </w:r>
      <w:r>
        <w:rPr>
          <w:rFonts w:hint="cs"/>
          <w:rtl/>
        </w:rPr>
        <w:t xml:space="preserve">כי אכן לא התקבלה כל החלטה בבקשה שהגישו המבקשים ביום </w:t>
      </w:r>
      <w:r w:rsidRPr="00DF06AF">
        <w:rPr>
          <w:rFonts w:hint="cs"/>
          <w:rtl/>
        </w:rPr>
        <w:t>27.8.2024</w:t>
      </w:r>
      <w:r>
        <w:rPr>
          <w:rFonts w:hint="cs"/>
          <w:rtl/>
        </w:rPr>
        <w:t xml:space="preserve">. איני יודע כיצד קרה הדבר, אולם </w:t>
      </w:r>
      <w:r w:rsidRPr="00DF06AF">
        <w:rPr>
          <w:rtl/>
        </w:rPr>
        <w:t>אפשר</w:t>
      </w:r>
      <w:r>
        <w:rPr>
          <w:rFonts w:hint="cs"/>
          <w:rtl/>
        </w:rPr>
        <w:t xml:space="preserve"> לשער שזה קרה בשל חילופי הגברי בלשכת המפקח על רישום מקרקעין בבאר שבע, לאחר מינויה לשיפוט של כב' המפקחת (כתוארה אז) </w:t>
      </w:r>
      <w:r>
        <w:rPr>
          <w:rFonts w:hint="cs"/>
          <w:b/>
          <w:bCs/>
          <w:rtl/>
        </w:rPr>
        <w:t>צ' קוינט שילוני</w:t>
      </w:r>
      <w:r>
        <w:rPr>
          <w:rFonts w:hint="cs"/>
          <w:rtl/>
        </w:rPr>
        <w:t xml:space="preserve">, אשר החלפתי את מקומה לאחר מינויי בסוף אוגוסט 2024. בכל מקרה, מדובר בבקשה שהוגשה לפני כשמונה חודשים, ומאז לא נעשתה כל פנייה בעניין זה. לא </w:t>
      </w:r>
      <w:r w:rsidRPr="00DF06AF">
        <w:rPr>
          <w:rFonts w:hint="cs"/>
          <w:rtl/>
        </w:rPr>
        <w:t>למותר לציין</w:t>
      </w:r>
      <w:r>
        <w:rPr>
          <w:rFonts w:hint="cs"/>
          <w:rtl/>
        </w:rPr>
        <w:t xml:space="preserve"> כי מאז הגישו המבקשים בקשות רבות שכולן, למיטב ידיעתי, נענו בהחלטות. בנסיבות אלה, </w:t>
      </w:r>
      <w:r w:rsidR="008342E5">
        <w:rPr>
          <w:rFonts w:hint="cs"/>
          <w:rtl/>
        </w:rPr>
        <w:t>איני מבין מדוע ראו המשיבים לנכון להתייחס לכך במסגרת הבקשה לפסלות.</w:t>
      </w:r>
    </w:p>
    <w:p w14:paraId="051D3394" w14:textId="1ABB562D" w:rsidR="00570DA1" w:rsidRDefault="00570DA1" w:rsidP="00570DA1">
      <w:pPr>
        <w:pStyle w:val="ac"/>
        <w:numPr>
          <w:ilvl w:val="0"/>
          <w:numId w:val="15"/>
        </w:numPr>
        <w:spacing w:before="100" w:beforeAutospacing="1" w:after="240" w:line="360" w:lineRule="auto"/>
        <w:contextualSpacing w:val="0"/>
        <w:jc w:val="both"/>
      </w:pPr>
      <w:r>
        <w:rPr>
          <w:rFonts w:hint="cs"/>
          <w:rtl/>
        </w:rPr>
        <w:t xml:space="preserve">לבסוף, בנוגע לטענת המבקש בדבר הכשלים באתר האינטרנט של לשכת המפקח. ראשית, לא מובן לי כיצד יש בכך כדי להוכיח משוא פנים. </w:t>
      </w:r>
      <w:r w:rsidRPr="00DF06AF">
        <w:rPr>
          <w:rFonts w:hint="cs"/>
          <w:rtl/>
        </w:rPr>
        <w:t>למען הסר ספק</w:t>
      </w:r>
      <w:r>
        <w:rPr>
          <w:rFonts w:hint="cs"/>
          <w:rtl/>
        </w:rPr>
        <w:t xml:space="preserve"> יובהר כי אין לי שליטה כל שהיא באתר האינטרנט של לשכת המפקח. ככל שהמבקשים מגלים כשל באתר הדרך הנכונה לפתור זאת היא באמצעות פנייה לתמיכה הטכנית. </w:t>
      </w:r>
    </w:p>
    <w:p w14:paraId="5071CEE8" w14:textId="77777777" w:rsidR="008342E5" w:rsidRDefault="00570DA1" w:rsidP="00570DA1">
      <w:pPr>
        <w:pStyle w:val="ac"/>
        <w:numPr>
          <w:ilvl w:val="0"/>
          <w:numId w:val="15"/>
        </w:numPr>
        <w:spacing w:before="100" w:beforeAutospacing="1" w:after="240" w:line="360" w:lineRule="auto"/>
        <w:contextualSpacing w:val="0"/>
        <w:jc w:val="both"/>
      </w:pPr>
      <w:r>
        <w:rPr>
          <w:rFonts w:hint="cs"/>
          <w:rtl/>
        </w:rPr>
        <w:t>בכל הנוגע להחלטות</w:t>
      </w:r>
      <w:r w:rsidRPr="00DF06AF">
        <w:rPr>
          <w:rtl/>
        </w:rPr>
        <w:t xml:space="preserve"> שאותן </w:t>
      </w:r>
      <w:r>
        <w:rPr>
          <w:rFonts w:hint="cs"/>
          <w:rtl/>
        </w:rPr>
        <w:t xml:space="preserve">קיבלתי במהלך הדיון וקודם לו, טענות אלה כולן מנומקות ומדברות בעד עצמן, ואיני רואה מקום להידרש להן במסגרת בקשה לפסלות. יצוין כי גם אם החלטה זו או אחרת אינה מנומקת (ולא נטען כך בענייננו), הדרך לטעון נגד זאת </w:t>
      </w:r>
      <w:r w:rsidR="008342E5">
        <w:rPr>
          <w:rFonts w:hint="cs"/>
          <w:rtl/>
        </w:rPr>
        <w:t>היא</w:t>
      </w:r>
      <w:r>
        <w:rPr>
          <w:rFonts w:hint="cs"/>
          <w:rtl/>
        </w:rPr>
        <w:t xml:space="preserve"> במסגרת ערעור ולא במסגרת בקשה לפסלות.</w:t>
      </w:r>
    </w:p>
    <w:p w14:paraId="4C50688A" w14:textId="6462900A" w:rsidR="00570DA1" w:rsidRDefault="008342E5" w:rsidP="00570DA1">
      <w:pPr>
        <w:pStyle w:val="ac"/>
        <w:numPr>
          <w:ilvl w:val="0"/>
          <w:numId w:val="15"/>
        </w:numPr>
        <w:spacing w:before="100" w:beforeAutospacing="1" w:after="240" w:line="360" w:lineRule="auto"/>
        <w:contextualSpacing w:val="0"/>
        <w:jc w:val="both"/>
      </w:pPr>
      <w:r>
        <w:rPr>
          <w:rFonts w:hint="cs"/>
          <w:rtl/>
        </w:rPr>
        <w:t xml:space="preserve">בשולי הדברים, אם כי לא בשולי חשיבותם, אציין כי במסגרת הבקשה התייחסו המבקשים לקודמתי, כב' המפקחת (כתוארה אז) </w:t>
      </w:r>
      <w:r>
        <w:rPr>
          <w:rFonts w:hint="cs"/>
          <w:b/>
          <w:bCs/>
          <w:rtl/>
        </w:rPr>
        <w:t>צ' קוינט שילוני</w:t>
      </w:r>
      <w:r>
        <w:rPr>
          <w:rFonts w:hint="cs"/>
          <w:rtl/>
        </w:rPr>
        <w:t xml:space="preserve"> וטענו בעניינה טענות שונות. אני מוצא לציין כי לא היה מקום להתייחסותם של המבקשים לכב' המפקחת, אשר אינה עוסקת בעניינם </w:t>
      </w:r>
      <w:r>
        <w:rPr>
          <w:rFonts w:hint="cs"/>
          <w:rtl/>
        </w:rPr>
        <w:lastRenderedPageBreak/>
        <w:t xml:space="preserve">של הצדדים. מעבר לכך, כב' המפקחת אינה צד להליך זה, וממילא היא אינה יכולה להשיב לטענות שנטענו בעניינה. </w:t>
      </w:r>
      <w:r w:rsidR="00570DA1">
        <w:rPr>
          <w:rFonts w:hint="cs"/>
          <w:rtl/>
        </w:rPr>
        <w:t xml:space="preserve"> </w:t>
      </w:r>
    </w:p>
    <w:p w14:paraId="43C763AE" w14:textId="77777777" w:rsidR="00570DA1" w:rsidRDefault="00570DA1" w:rsidP="00570DA1">
      <w:pPr>
        <w:pStyle w:val="ac"/>
        <w:numPr>
          <w:ilvl w:val="0"/>
          <w:numId w:val="15"/>
        </w:numPr>
        <w:spacing w:before="100" w:beforeAutospacing="1" w:after="240" w:line="360" w:lineRule="auto"/>
        <w:ind w:left="340" w:hanging="340"/>
        <w:contextualSpacing w:val="0"/>
        <w:jc w:val="both"/>
      </w:pPr>
      <w:r>
        <w:rPr>
          <w:rFonts w:hint="cs"/>
          <w:rtl/>
        </w:rPr>
        <w:t xml:space="preserve">סוף דבר </w:t>
      </w:r>
      <w:r>
        <w:rPr>
          <w:rtl/>
        </w:rPr>
        <w:t>–</w:t>
      </w:r>
      <w:r>
        <w:rPr>
          <w:rFonts w:hint="cs"/>
          <w:rtl/>
        </w:rPr>
        <w:t xml:space="preserve"> הבקשה נדחית. משלא התבקשה תשובה אין צו להוצאות. </w:t>
      </w:r>
    </w:p>
    <w:p w14:paraId="32EA9924" w14:textId="04F50347" w:rsidR="00BF226D" w:rsidRPr="008A7D76" w:rsidRDefault="00570DA1" w:rsidP="00570DA1">
      <w:pPr>
        <w:spacing w:before="100" w:beforeAutospacing="1" w:after="240" w:line="360" w:lineRule="auto"/>
        <w:contextualSpacing w:val="0"/>
        <w:jc w:val="both"/>
        <w:rPr>
          <w:rtl/>
        </w:rPr>
      </w:pPr>
      <w:r>
        <w:rPr>
          <w:noProof/>
        </w:rPr>
        <w:drawing>
          <wp:anchor distT="0" distB="0" distL="114300" distR="114300" simplePos="0" relativeHeight="251659264" behindDoc="1" locked="0" layoutInCell="1" allowOverlap="1" wp14:anchorId="4A170A07" wp14:editId="7A27E17A">
            <wp:simplePos x="0" y="0"/>
            <wp:positionH relativeFrom="margin">
              <wp:posOffset>4637</wp:posOffset>
            </wp:positionH>
            <wp:positionV relativeFrom="paragraph">
              <wp:posOffset>344649</wp:posOffset>
            </wp:positionV>
            <wp:extent cx="1586230" cy="1199515"/>
            <wp:effectExtent l="0" t="0" r="0" b="635"/>
            <wp:wrapTight wrapText="bothSides">
              <wp:wrapPolygon edited="0">
                <wp:start x="0" y="0"/>
                <wp:lineTo x="0" y="21268"/>
                <wp:lineTo x="21271" y="21268"/>
                <wp:lineTo x="21271" y="0"/>
                <wp:lineTo x="0" y="0"/>
              </wp:wrapPolygon>
            </wp:wrapTight>
            <wp:docPr id="3" name="תמונה 3" descr="חתימה"/>
            <wp:cNvGraphicFramePr/>
            <a:graphic xmlns:a="http://schemas.openxmlformats.org/drawingml/2006/main">
              <a:graphicData uri="http://schemas.openxmlformats.org/drawingml/2006/picture">
                <pic:pic xmlns:pic="http://schemas.openxmlformats.org/drawingml/2006/picture">
                  <pic:nvPicPr>
                    <pic:cNvPr id="3" name="תמונה 3" descr="חתימה"/>
                    <pic:cNvPicPr/>
                  </pic:nvPicPr>
                  <pic:blipFill>
                    <a:blip r:embed="rId11">
                      <a:extLst>
                        <a:ext uri="{28A0092B-C50C-407E-A947-70E740481C1C}">
                          <a14:useLocalDpi xmlns:a14="http://schemas.microsoft.com/office/drawing/2010/main" val="0"/>
                        </a:ext>
                      </a:extLst>
                    </a:blip>
                    <a:stretch>
                      <a:fillRect/>
                    </a:stretch>
                  </pic:blipFill>
                  <pic:spPr>
                    <a:xfrm>
                      <a:off x="0" y="0"/>
                      <a:ext cx="1586230" cy="1199515"/>
                    </a:xfrm>
                    <a:prstGeom prst="rect">
                      <a:avLst/>
                    </a:prstGeom>
                  </pic:spPr>
                </pic:pic>
              </a:graphicData>
            </a:graphic>
            <wp14:sizeRelH relativeFrom="page">
              <wp14:pctWidth>0</wp14:pctWidth>
            </wp14:sizeRelH>
            <wp14:sizeRelV relativeFrom="page">
              <wp14:pctHeight>0</wp14:pctHeight>
            </wp14:sizeRelV>
          </wp:anchor>
        </w:drawing>
      </w:r>
      <w:r w:rsidRPr="00646F3D">
        <w:rPr>
          <w:rFonts w:ascii="David" w:hAnsi="David"/>
          <w:b/>
          <w:bCs/>
          <w:sz w:val="24"/>
          <w:rtl/>
        </w:rPr>
        <w:t>נית</w:t>
      </w:r>
      <w:r w:rsidRPr="00646F3D">
        <w:rPr>
          <w:rFonts w:ascii="David" w:hAnsi="David" w:hint="cs"/>
          <w:b/>
          <w:bCs/>
          <w:sz w:val="24"/>
          <w:rtl/>
        </w:rPr>
        <w:t xml:space="preserve">נה </w:t>
      </w:r>
      <w:r w:rsidRPr="00646F3D">
        <w:rPr>
          <w:rFonts w:ascii="David" w:hAnsi="David"/>
          <w:b/>
          <w:bCs/>
          <w:sz w:val="24"/>
          <w:rtl/>
        </w:rPr>
        <w:t>היו</w:t>
      </w:r>
      <w:r w:rsidR="00AA0ED8">
        <w:rPr>
          <w:rFonts w:ascii="David" w:hAnsi="David" w:hint="cs"/>
          <w:b/>
          <w:bCs/>
          <w:sz w:val="24"/>
          <w:rtl/>
        </w:rPr>
        <w:t xml:space="preserve">ם 14.05.2025, ט"ז אייר תשפ"ה, </w:t>
      </w:r>
      <w:r w:rsidRPr="00646F3D">
        <w:rPr>
          <w:rFonts w:ascii="David" w:hAnsi="David"/>
          <w:b/>
          <w:bCs/>
          <w:sz w:val="24"/>
          <w:rtl/>
        </w:rPr>
        <w:t>בהיעדר הצדדים</w:t>
      </w:r>
      <w:r w:rsidRPr="00646F3D">
        <w:rPr>
          <w:rFonts w:ascii="David" w:hAnsi="David"/>
          <w:bCs/>
          <w:sz w:val="24"/>
          <w:rtl/>
        </w:rPr>
        <w:t>.</w:t>
      </w:r>
    </w:p>
    <w:sectPr w:rsidR="00BF226D" w:rsidRPr="008A7D76" w:rsidSect="00B06DCB">
      <w:headerReference w:type="default" r:id="rId12"/>
      <w:footerReference w:type="default" r:id="rId13"/>
      <w:pgSz w:w="11906" w:h="16838"/>
      <w:pgMar w:top="1078"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2D17F9" w14:textId="77777777" w:rsidR="00F225E6" w:rsidRDefault="00F225E6" w:rsidP="00E6645A">
      <w:r>
        <w:separator/>
      </w:r>
    </w:p>
  </w:endnote>
  <w:endnote w:type="continuationSeparator" w:id="0">
    <w:p w14:paraId="7E8BEFDE" w14:textId="77777777" w:rsidR="00F225E6" w:rsidRDefault="00F225E6" w:rsidP="00E6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71306542"/>
      <w:docPartObj>
        <w:docPartGallery w:val="Page Numbers (Bottom of Page)"/>
        <w:docPartUnique/>
      </w:docPartObj>
    </w:sdtPr>
    <w:sdtEndPr>
      <w:rPr>
        <w:rFonts w:ascii="David" w:hAnsi="David"/>
        <w:b/>
        <w:bCs/>
        <w:noProof/>
        <w:sz w:val="24"/>
      </w:rPr>
    </w:sdtEndPr>
    <w:sdtContent>
      <w:p w14:paraId="19A997FB" w14:textId="77777777" w:rsidR="00AA5F44" w:rsidRPr="008E0BDC" w:rsidRDefault="00AA5F44">
        <w:pPr>
          <w:pStyle w:val="a8"/>
          <w:jc w:val="center"/>
          <w:rPr>
            <w:rFonts w:ascii="David" w:hAnsi="David"/>
            <w:b/>
            <w:bCs/>
            <w:sz w:val="24"/>
          </w:rPr>
        </w:pPr>
        <w:r w:rsidRPr="008E0BDC">
          <w:rPr>
            <w:rFonts w:ascii="David" w:hAnsi="David" w:hint="cs"/>
            <w:b/>
            <w:bCs/>
            <w:sz w:val="24"/>
            <w:rtl/>
          </w:rPr>
          <w:t xml:space="preserve">עמוד </w:t>
        </w:r>
        <w:r w:rsidR="003136D2">
          <w:fldChar w:fldCharType="begin"/>
        </w:r>
        <w:r w:rsidR="003136D2">
          <w:instrText xml:space="preserve"> PAGE   \* MERGEFORMAT </w:instrText>
        </w:r>
        <w:r w:rsidR="003136D2">
          <w:fldChar w:fldCharType="separate"/>
        </w:r>
        <w:r w:rsidR="00570DA1">
          <w:rPr>
            <w:noProof/>
            <w:rtl/>
          </w:rPr>
          <w:t>1</w:t>
        </w:r>
        <w:r w:rsidR="003136D2">
          <w:fldChar w:fldCharType="end"/>
        </w:r>
      </w:p>
    </w:sdtContent>
  </w:sdt>
  <w:p w14:paraId="1A3835B4" w14:textId="77777777" w:rsidR="00257FA6" w:rsidRPr="00C60A02" w:rsidRDefault="00257FA6">
    <w:pPr>
      <w:pStyle w:val="a8"/>
      <w:rPr>
        <w: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1B252" w14:textId="77777777" w:rsidR="00F225E6" w:rsidRDefault="00F225E6" w:rsidP="00E6645A">
      <w:r>
        <w:separator/>
      </w:r>
    </w:p>
  </w:footnote>
  <w:footnote w:type="continuationSeparator" w:id="0">
    <w:p w14:paraId="033D60D1" w14:textId="77777777" w:rsidR="00F225E6" w:rsidRDefault="00F225E6" w:rsidP="00E66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5B6F2" w14:textId="77777777" w:rsidR="003A2D09" w:rsidRPr="00257FA6" w:rsidRDefault="003A2D09" w:rsidP="003A2D09">
    <w:pPr>
      <w:pStyle w:val="a6"/>
      <w:jc w:val="center"/>
      <w:rPr>
        <w:rFonts w:ascii="Arial" w:hAnsi="Arial"/>
        <w:b/>
        <w:bCs/>
        <w:sz w:val="20"/>
        <w:rtl/>
      </w:rPr>
    </w:pPr>
    <w:r w:rsidRPr="00257FA6">
      <w:rPr>
        <w:rFonts w:ascii="Arial" w:hAnsi="Arial"/>
        <w:b/>
        <w:bCs/>
        <w:noProof/>
        <w:sz w:val="20"/>
        <w:rtl/>
      </w:rPr>
      <w:drawing>
        <wp:inline distT="0" distB="0" distL="0" distR="0" wp14:anchorId="5D9F1925" wp14:editId="3B948E10">
          <wp:extent cx="558165" cy="570230"/>
          <wp:effectExtent l="19050" t="0" r="0" b="0"/>
          <wp:docPr id="1"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06B84473" w14:textId="77777777" w:rsidR="003A2D09" w:rsidRPr="00257FA6" w:rsidRDefault="003A2D09" w:rsidP="003A2D09">
    <w:pPr>
      <w:pStyle w:val="a6"/>
      <w:jc w:val="center"/>
      <w:rPr>
        <w:rFonts w:ascii="Arial" w:hAnsi="Arial"/>
        <w:b/>
        <w:bCs/>
        <w:sz w:val="20"/>
        <w:rtl/>
      </w:rPr>
    </w:pPr>
    <w:r w:rsidRPr="00257FA6">
      <w:rPr>
        <w:rFonts w:ascii="Arial" w:hAnsi="Arial" w:hint="cs"/>
        <w:b/>
        <w:bCs/>
        <w:sz w:val="20"/>
        <w:rtl/>
      </w:rPr>
      <w:t>מדינת ישראל</w:t>
    </w:r>
  </w:p>
  <w:p w14:paraId="66269DDB" w14:textId="77777777" w:rsidR="003A2D09" w:rsidRDefault="003A2D09" w:rsidP="003A2D09">
    <w:pPr>
      <w:pStyle w:val="a6"/>
      <w:jc w:val="center"/>
      <w:rPr>
        <w:rFonts w:ascii="Arial" w:hAnsi="Arial"/>
        <w:b/>
        <w:bCs/>
        <w:sz w:val="20"/>
        <w:rtl/>
      </w:rPr>
    </w:pPr>
    <w:r w:rsidRPr="00257FA6">
      <w:rPr>
        <w:rFonts w:ascii="Arial" w:hAnsi="Arial"/>
        <w:b/>
        <w:bCs/>
        <w:sz w:val="20"/>
        <w:rtl/>
      </w:rPr>
      <w:t>משרד המשפטים</w:t>
    </w:r>
  </w:p>
  <w:p w14:paraId="7282CF98" w14:textId="77777777" w:rsidR="003A2D09" w:rsidRPr="00257FA6" w:rsidRDefault="001E56A2" w:rsidP="003A2D09">
    <w:pPr>
      <w:pStyle w:val="a6"/>
      <w:jc w:val="center"/>
      <w:rPr>
        <w:rFonts w:ascii="Arial" w:hAnsi="Arial"/>
        <w:b/>
        <w:bCs/>
        <w:sz w:val="20"/>
        <w:rtl/>
      </w:rPr>
    </w:pPr>
    <w:r>
      <w:rPr>
        <w:rFonts w:ascii="David" w:hAnsi="David"/>
        <w:b/>
        <w:bCs/>
        <w:noProof/>
        <w:sz w:val="24"/>
        <w:rtl/>
      </w:rPr>
      <w:t>באר שבע</w:t>
    </w: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3686"/>
      <w:gridCol w:w="4537"/>
    </w:tblGrid>
    <w:tr w:rsidR="00D3650D" w:rsidRPr="00257FA6" w14:paraId="1B34D5A5" w14:textId="77777777" w:rsidTr="001035B0">
      <w:tc>
        <w:tcPr>
          <w:tcW w:w="3118" w:type="dxa"/>
        </w:tcPr>
        <w:p w14:paraId="1F62EFC9" w14:textId="77777777" w:rsidR="00D3650D" w:rsidRDefault="00D3650D" w:rsidP="001C63D8">
          <w:pPr>
            <w:pStyle w:val="a6"/>
            <w:jc w:val="center"/>
            <w:rPr>
              <w:rFonts w:ascii="Arial" w:hAnsi="Arial"/>
              <w:b/>
              <w:bCs/>
              <w:sz w:val="20"/>
              <w:rtl/>
            </w:rPr>
          </w:pPr>
          <w:r w:rsidRPr="00257FA6">
            <w:rPr>
              <w:rFonts w:ascii="Arial" w:hAnsi="Arial" w:hint="cs"/>
              <w:b/>
              <w:bCs/>
              <w:sz w:val="20"/>
              <w:rtl/>
            </w:rPr>
            <w:t>מפקח על רישום מקרקעין</w:t>
          </w:r>
        </w:p>
        <w:p w14:paraId="3195A559" w14:textId="77777777" w:rsidR="00982571" w:rsidRPr="005347F0" w:rsidRDefault="00982571" w:rsidP="00982571">
          <w:pPr>
            <w:pStyle w:val="a6"/>
            <w:jc w:val="center"/>
            <w:rPr>
              <w:b/>
              <w:bCs/>
              <w:sz w:val="24"/>
              <w:rtl/>
            </w:rPr>
          </w:pPr>
          <w:r w:rsidRPr="005347F0">
            <w:rPr>
              <w:rFonts w:hint="cs"/>
              <w:b/>
              <w:bCs/>
              <w:sz w:val="24"/>
              <w:rtl/>
            </w:rPr>
            <w:t>בסמכות שופט בית משפט שלום</w:t>
          </w:r>
        </w:p>
        <w:p w14:paraId="54F50B11" w14:textId="77777777" w:rsidR="00982571" w:rsidRPr="00257FA6" w:rsidRDefault="00982571" w:rsidP="00982571">
          <w:pPr>
            <w:pStyle w:val="a6"/>
            <w:jc w:val="center"/>
            <w:rPr>
              <w:rFonts w:ascii="Arial" w:hAnsi="Arial"/>
              <w:b/>
              <w:bCs/>
              <w:sz w:val="20"/>
              <w:rtl/>
            </w:rPr>
          </w:pPr>
          <w:r>
            <w:rPr>
              <w:rFonts w:hint="cs"/>
              <w:b/>
              <w:bCs/>
              <w:sz w:val="24"/>
              <w:rtl/>
            </w:rPr>
            <w:t>לפי סעיף 74 לחוק המקרקעין</w:t>
          </w:r>
        </w:p>
      </w:tc>
      <w:tc>
        <w:tcPr>
          <w:tcW w:w="3686" w:type="dxa"/>
        </w:tcPr>
        <w:p w14:paraId="57B66CCE" w14:textId="77777777" w:rsidR="00D3650D" w:rsidRPr="00257FA6" w:rsidRDefault="00D3650D" w:rsidP="00373A1B">
          <w:pPr>
            <w:pStyle w:val="a6"/>
            <w:jc w:val="center"/>
            <w:rPr>
              <w:rFonts w:ascii="Arial" w:hAnsi="Arial"/>
              <w:b/>
              <w:bCs/>
              <w:sz w:val="20"/>
              <w:rtl/>
            </w:rPr>
          </w:pPr>
        </w:p>
      </w:tc>
      <w:tc>
        <w:tcPr>
          <w:tcW w:w="4537" w:type="dxa"/>
        </w:tcPr>
        <w:p w14:paraId="0C790EAE" w14:textId="77777777" w:rsidR="00D3650D" w:rsidRPr="00257FA6" w:rsidRDefault="001E56A2" w:rsidP="001C63D8">
          <w:pPr>
            <w:pStyle w:val="a6"/>
            <w:rPr>
              <w:rFonts w:ascii="Arial" w:hAnsi="Arial"/>
              <w:b/>
              <w:bCs/>
              <w:sz w:val="20"/>
              <w:rtl/>
            </w:rPr>
          </w:pPr>
          <w:r>
            <w:rPr>
              <w:rFonts w:ascii="David" w:hAnsi="David"/>
              <w:b/>
              <w:bCs/>
              <w:noProof/>
              <w:sz w:val="24"/>
              <w:rtl/>
            </w:rPr>
            <w:t>מס' תיק: 2/119/2024</w:t>
          </w:r>
          <w:r>
            <w:br/>
          </w:r>
          <w:r>
            <w:rPr>
              <w:rFonts w:ascii="David" w:hAnsi="David"/>
              <w:b/>
              <w:bCs/>
              <w:noProof/>
              <w:sz w:val="24"/>
              <w:rtl/>
            </w:rPr>
            <w:t>מס' בקשה: 2/85/2025</w:t>
          </w:r>
        </w:p>
      </w:tc>
    </w:tr>
  </w:tbl>
  <w:p w14:paraId="54F4E9C4" w14:textId="77777777" w:rsidR="003A2D09" w:rsidRPr="00257FA6" w:rsidRDefault="003A2D09" w:rsidP="003A2D09">
    <w:pPr>
      <w:pStyle w:val="a6"/>
      <w:rPr>
        <w:rFonts w:ascii="Arial" w:hAnsi="Arial"/>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9DEFC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8D4A2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E98F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C5C9CA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B8A3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E4A8A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E80DB2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EE42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9EDB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BA4A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021AE"/>
    <w:multiLevelType w:val="hybridMultilevel"/>
    <w:tmpl w:val="94309F9E"/>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1" w15:restartNumberingAfterBreak="0">
    <w:nsid w:val="00DE6F29"/>
    <w:multiLevelType w:val="hybridMultilevel"/>
    <w:tmpl w:val="D2245BEC"/>
    <w:lvl w:ilvl="0" w:tplc="E50215BA">
      <w:start w:val="1"/>
      <w:numFmt w:val="bullet"/>
      <w:lvlText w:val=""/>
      <w:lvlJc w:val="left"/>
      <w:pPr>
        <w:ind w:left="1080" w:hanging="360"/>
      </w:pPr>
      <w:rPr>
        <w:rFonts w:ascii="Symbol" w:eastAsiaTheme="minorHAnsi" w:hAnsi="Symbol" w:cs="David"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CF8164A"/>
    <w:multiLevelType w:val="hybridMultilevel"/>
    <w:tmpl w:val="7110D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974872"/>
    <w:multiLevelType w:val="hybridMultilevel"/>
    <w:tmpl w:val="1E981BB8"/>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4" w15:restartNumberingAfterBreak="0">
    <w:nsid w:val="7AF43578"/>
    <w:multiLevelType w:val="hybridMultilevel"/>
    <w:tmpl w:val="53762E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0726CB"/>
    <w:multiLevelType w:val="hybridMultilevel"/>
    <w:tmpl w:val="D644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5"/>
  </w:num>
  <w:num w:numId="15">
    <w:abstractNumId w:val="1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2" w:val="........................................................................................................................................................................................................................................................................................................................................................................................................................................................................................................................................................................................................................................................................................................................................................................................................................................................................................................................................................................................................................................"/>
    <w:docVar w:name="93" w:val="........................................................................................................................................................................................................................................................................................................................................................................................................................................................................................................................................................................................................................................................................................................................................................................................................................................................................................................................................................................................................................................"/>
    <w:docVar w:name="DocTable" w:val="2"/>
    <w:docVar w:name="Document Headings-14/08/2025 08:59:18" w:val="........................................................................................................................................................................................................................................................................................................................................................................................................................................................................................................................................................................................................................................................................................................................................................................................................................................................................................................................................................................................................................................"/>
    <w:docVar w:name="Document MetaData-14/08/2025 08:57:43" w:val="........................................................................................................................................................................................................................................................................................................................................................................................................................................................................................................................................................................................................................................................................................................................................................................................................................................................................................................................................................................................................................................"/>
    <w:docVar w:name="Document Tables-14/08/2025 08:59:19" w:val="........................................................................................................................................................................................................................................................................................................................................................................................................................................................................................................................................................................................................................................................................................................................................................................................................................................................................................................................................................................................................................................"/>
    <w:docVar w:name="P1" w:val="Document MetaData-14/08/2025 09:01:36"/>
    <w:docVar w:name="P2" w:val="Document Headings-14/08/2025 09:01:48"/>
    <w:docVar w:name="P3" w:val="Document Tables-14/08/2025 09:01:53"/>
    <w:docVar w:name="ParaNumber" w:val="93"/>
  </w:docVars>
  <w:rsids>
    <w:rsidRoot w:val="00A85247"/>
    <w:rsid w:val="00002AEE"/>
    <w:rsid w:val="00003CC5"/>
    <w:rsid w:val="00005402"/>
    <w:rsid w:val="000057E8"/>
    <w:rsid w:val="00020148"/>
    <w:rsid w:val="0002373E"/>
    <w:rsid w:val="00041D06"/>
    <w:rsid w:val="00064A36"/>
    <w:rsid w:val="00067456"/>
    <w:rsid w:val="00073376"/>
    <w:rsid w:val="0007500C"/>
    <w:rsid w:val="000752D2"/>
    <w:rsid w:val="0008218B"/>
    <w:rsid w:val="00082BC7"/>
    <w:rsid w:val="000834B7"/>
    <w:rsid w:val="000960BA"/>
    <w:rsid w:val="000C25E1"/>
    <w:rsid w:val="000D1035"/>
    <w:rsid w:val="000E046E"/>
    <w:rsid w:val="000E59A0"/>
    <w:rsid w:val="000F1BB5"/>
    <w:rsid w:val="000F40C1"/>
    <w:rsid w:val="0010153E"/>
    <w:rsid w:val="001035B0"/>
    <w:rsid w:val="00107339"/>
    <w:rsid w:val="001166DA"/>
    <w:rsid w:val="00141176"/>
    <w:rsid w:val="00161DD5"/>
    <w:rsid w:val="00171732"/>
    <w:rsid w:val="001A73F3"/>
    <w:rsid w:val="001D4325"/>
    <w:rsid w:val="001E56A2"/>
    <w:rsid w:val="001F5C40"/>
    <w:rsid w:val="00227E56"/>
    <w:rsid w:val="00227EDD"/>
    <w:rsid w:val="00237FAC"/>
    <w:rsid w:val="00257FA6"/>
    <w:rsid w:val="0026341F"/>
    <w:rsid w:val="0028308D"/>
    <w:rsid w:val="00285EE4"/>
    <w:rsid w:val="002A668B"/>
    <w:rsid w:val="002C4316"/>
    <w:rsid w:val="002D2A9A"/>
    <w:rsid w:val="00302C45"/>
    <w:rsid w:val="003136D2"/>
    <w:rsid w:val="0032032C"/>
    <w:rsid w:val="00334571"/>
    <w:rsid w:val="00344FAA"/>
    <w:rsid w:val="0034710D"/>
    <w:rsid w:val="00353E71"/>
    <w:rsid w:val="00355305"/>
    <w:rsid w:val="00355C48"/>
    <w:rsid w:val="003571AE"/>
    <w:rsid w:val="0036024A"/>
    <w:rsid w:val="00382123"/>
    <w:rsid w:val="003A2D09"/>
    <w:rsid w:val="003A5B0C"/>
    <w:rsid w:val="003D3ACC"/>
    <w:rsid w:val="003E0904"/>
    <w:rsid w:val="003E5409"/>
    <w:rsid w:val="003F0297"/>
    <w:rsid w:val="003F03E7"/>
    <w:rsid w:val="00416D3E"/>
    <w:rsid w:val="0043108A"/>
    <w:rsid w:val="00436544"/>
    <w:rsid w:val="004507C9"/>
    <w:rsid w:val="00451EC5"/>
    <w:rsid w:val="0046199F"/>
    <w:rsid w:val="0046217D"/>
    <w:rsid w:val="0046318A"/>
    <w:rsid w:val="004652EB"/>
    <w:rsid w:val="00472CF9"/>
    <w:rsid w:val="00492E70"/>
    <w:rsid w:val="004C4A98"/>
    <w:rsid w:val="004E326D"/>
    <w:rsid w:val="004F780E"/>
    <w:rsid w:val="00506114"/>
    <w:rsid w:val="00533418"/>
    <w:rsid w:val="00535A25"/>
    <w:rsid w:val="00545351"/>
    <w:rsid w:val="00545579"/>
    <w:rsid w:val="00555A87"/>
    <w:rsid w:val="00570DA1"/>
    <w:rsid w:val="005714F0"/>
    <w:rsid w:val="00572752"/>
    <w:rsid w:val="005807C0"/>
    <w:rsid w:val="005A4338"/>
    <w:rsid w:val="005B2A07"/>
    <w:rsid w:val="005B6D9F"/>
    <w:rsid w:val="005B7227"/>
    <w:rsid w:val="005E07ED"/>
    <w:rsid w:val="005E224F"/>
    <w:rsid w:val="005F04A9"/>
    <w:rsid w:val="00627AC1"/>
    <w:rsid w:val="0063709C"/>
    <w:rsid w:val="006478D8"/>
    <w:rsid w:val="00651AB5"/>
    <w:rsid w:val="00657C5B"/>
    <w:rsid w:val="0066182D"/>
    <w:rsid w:val="00677D3C"/>
    <w:rsid w:val="0068496F"/>
    <w:rsid w:val="006906EC"/>
    <w:rsid w:val="00696EE2"/>
    <w:rsid w:val="006D4388"/>
    <w:rsid w:val="006D7477"/>
    <w:rsid w:val="006E5B31"/>
    <w:rsid w:val="006F3E4F"/>
    <w:rsid w:val="00716D3E"/>
    <w:rsid w:val="007447BC"/>
    <w:rsid w:val="007523B0"/>
    <w:rsid w:val="007606E7"/>
    <w:rsid w:val="00761393"/>
    <w:rsid w:val="0076341C"/>
    <w:rsid w:val="00772464"/>
    <w:rsid w:val="0078315F"/>
    <w:rsid w:val="00786824"/>
    <w:rsid w:val="00792E10"/>
    <w:rsid w:val="007A22B9"/>
    <w:rsid w:val="007B1CF6"/>
    <w:rsid w:val="007C0832"/>
    <w:rsid w:val="007D6D54"/>
    <w:rsid w:val="007E3C9A"/>
    <w:rsid w:val="007E47BC"/>
    <w:rsid w:val="00803D38"/>
    <w:rsid w:val="008342E5"/>
    <w:rsid w:val="008346FC"/>
    <w:rsid w:val="00835647"/>
    <w:rsid w:val="00841790"/>
    <w:rsid w:val="00846D73"/>
    <w:rsid w:val="00850B49"/>
    <w:rsid w:val="0086487F"/>
    <w:rsid w:val="00867BA8"/>
    <w:rsid w:val="008716BE"/>
    <w:rsid w:val="00895C0A"/>
    <w:rsid w:val="008A2AB4"/>
    <w:rsid w:val="008A7D76"/>
    <w:rsid w:val="008B42C5"/>
    <w:rsid w:val="008C4D39"/>
    <w:rsid w:val="008E0BDC"/>
    <w:rsid w:val="009058E3"/>
    <w:rsid w:val="00941F0E"/>
    <w:rsid w:val="0095273E"/>
    <w:rsid w:val="00954DDD"/>
    <w:rsid w:val="00982571"/>
    <w:rsid w:val="00986C4F"/>
    <w:rsid w:val="00995661"/>
    <w:rsid w:val="009957CE"/>
    <w:rsid w:val="009C6D05"/>
    <w:rsid w:val="009E14FF"/>
    <w:rsid w:val="009E6737"/>
    <w:rsid w:val="009F14CE"/>
    <w:rsid w:val="009F46C4"/>
    <w:rsid w:val="00A014E7"/>
    <w:rsid w:val="00A02096"/>
    <w:rsid w:val="00A12C45"/>
    <w:rsid w:val="00A24785"/>
    <w:rsid w:val="00A3282F"/>
    <w:rsid w:val="00A44778"/>
    <w:rsid w:val="00A4569A"/>
    <w:rsid w:val="00A56393"/>
    <w:rsid w:val="00A85247"/>
    <w:rsid w:val="00A87A98"/>
    <w:rsid w:val="00AA0ED8"/>
    <w:rsid w:val="00AA2219"/>
    <w:rsid w:val="00AA5F44"/>
    <w:rsid w:val="00AA6CAB"/>
    <w:rsid w:val="00AA7FAF"/>
    <w:rsid w:val="00AC0A8E"/>
    <w:rsid w:val="00AC4D87"/>
    <w:rsid w:val="00AD6010"/>
    <w:rsid w:val="00AE5FE0"/>
    <w:rsid w:val="00AF31EE"/>
    <w:rsid w:val="00B06DCB"/>
    <w:rsid w:val="00B137E2"/>
    <w:rsid w:val="00B20B1E"/>
    <w:rsid w:val="00B26051"/>
    <w:rsid w:val="00B27DA5"/>
    <w:rsid w:val="00B34635"/>
    <w:rsid w:val="00B37608"/>
    <w:rsid w:val="00B453DC"/>
    <w:rsid w:val="00B720C7"/>
    <w:rsid w:val="00B80929"/>
    <w:rsid w:val="00B82135"/>
    <w:rsid w:val="00B93DB7"/>
    <w:rsid w:val="00BB4A46"/>
    <w:rsid w:val="00BC453B"/>
    <w:rsid w:val="00BD2B92"/>
    <w:rsid w:val="00BD611E"/>
    <w:rsid w:val="00BF226D"/>
    <w:rsid w:val="00C06756"/>
    <w:rsid w:val="00C07D14"/>
    <w:rsid w:val="00C21C67"/>
    <w:rsid w:val="00C2248B"/>
    <w:rsid w:val="00C32D24"/>
    <w:rsid w:val="00C333A2"/>
    <w:rsid w:val="00C351AC"/>
    <w:rsid w:val="00C452A8"/>
    <w:rsid w:val="00C60A02"/>
    <w:rsid w:val="00C77800"/>
    <w:rsid w:val="00C8524A"/>
    <w:rsid w:val="00C92D3D"/>
    <w:rsid w:val="00CB44D3"/>
    <w:rsid w:val="00CD0363"/>
    <w:rsid w:val="00CF458D"/>
    <w:rsid w:val="00D0443B"/>
    <w:rsid w:val="00D11EF2"/>
    <w:rsid w:val="00D3650D"/>
    <w:rsid w:val="00D40469"/>
    <w:rsid w:val="00D43837"/>
    <w:rsid w:val="00D507E2"/>
    <w:rsid w:val="00D54636"/>
    <w:rsid w:val="00D63F0C"/>
    <w:rsid w:val="00D80962"/>
    <w:rsid w:val="00DB2354"/>
    <w:rsid w:val="00DB6109"/>
    <w:rsid w:val="00E0435C"/>
    <w:rsid w:val="00E114C4"/>
    <w:rsid w:val="00E13BDC"/>
    <w:rsid w:val="00E2132A"/>
    <w:rsid w:val="00E33D5F"/>
    <w:rsid w:val="00E5481C"/>
    <w:rsid w:val="00E644DA"/>
    <w:rsid w:val="00E6645A"/>
    <w:rsid w:val="00E67049"/>
    <w:rsid w:val="00E8345C"/>
    <w:rsid w:val="00E84FA8"/>
    <w:rsid w:val="00EA29F4"/>
    <w:rsid w:val="00EA5C43"/>
    <w:rsid w:val="00EB13EF"/>
    <w:rsid w:val="00EB709B"/>
    <w:rsid w:val="00EC1F35"/>
    <w:rsid w:val="00ED573F"/>
    <w:rsid w:val="00EF5F96"/>
    <w:rsid w:val="00EF72B9"/>
    <w:rsid w:val="00F00726"/>
    <w:rsid w:val="00F05D0A"/>
    <w:rsid w:val="00F1177A"/>
    <w:rsid w:val="00F225E6"/>
    <w:rsid w:val="00F3383F"/>
    <w:rsid w:val="00F44D7E"/>
    <w:rsid w:val="00F45876"/>
    <w:rsid w:val="00F53FCE"/>
    <w:rsid w:val="00F56AA8"/>
    <w:rsid w:val="00F65521"/>
    <w:rsid w:val="00F7708F"/>
    <w:rsid w:val="00F87149"/>
    <w:rsid w:val="00FB5007"/>
    <w:rsid w:val="00FB52B5"/>
    <w:rsid w:val="00FC4C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804EA8B"/>
  <w15:docId w15:val="{75389747-F8C3-4CB5-A1FC-EA8B9674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7ED"/>
    <w:pPr>
      <w:bidi/>
      <w:spacing w:after="0" w:line="240" w:lineRule="auto"/>
      <w:contextualSpacing/>
    </w:pPr>
    <w:rPr>
      <w:rFonts w:ascii="Times New Roman" w:hAnsi="Times New Roman" w:cs="David"/>
      <w:szCs w:val="24"/>
    </w:rPr>
  </w:style>
  <w:style w:type="paragraph" w:styleId="1">
    <w:name w:val="heading 1"/>
    <w:basedOn w:val="a"/>
    <w:next w:val="a"/>
    <w:link w:val="10"/>
    <w:uiPriority w:val="9"/>
    <w:qFormat/>
    <w:rsid w:val="007606E7"/>
    <w:pPr>
      <w:jc w:val="both"/>
      <w:outlineLvl w:val="0"/>
    </w:pPr>
    <w:rPr>
      <w:rFonts w:ascii="David" w:hAnsi="David"/>
      <w:b/>
      <w:bCs/>
      <w:sz w:val="24"/>
    </w:rPr>
  </w:style>
  <w:style w:type="paragraph" w:styleId="2">
    <w:name w:val="heading 2"/>
    <w:basedOn w:val="a"/>
    <w:next w:val="a"/>
    <w:link w:val="20"/>
    <w:uiPriority w:val="9"/>
    <w:unhideWhenUsed/>
    <w:qFormat/>
    <w:rsid w:val="007606E7"/>
    <w:pPr>
      <w:keepNext/>
      <w:keepLines/>
      <w:jc w:val="both"/>
      <w:outlineLvl w:val="1"/>
    </w:pPr>
    <w:rPr>
      <w:rFonts w:ascii="David" w:eastAsia="David" w:hAnsi="David"/>
      <w:sz w:val="24"/>
      <w:u w:val="single"/>
    </w:rPr>
  </w:style>
  <w:style w:type="paragraph" w:styleId="3">
    <w:name w:val="heading 3"/>
    <w:basedOn w:val="a"/>
    <w:next w:val="a"/>
    <w:link w:val="30"/>
    <w:uiPriority w:val="9"/>
    <w:unhideWhenUsed/>
    <w:qFormat/>
    <w:rsid w:val="007606E7"/>
    <w:pPr>
      <w:keepNext/>
      <w:keepLines/>
      <w:jc w:val="both"/>
      <w:outlineLvl w:val="2"/>
    </w:pPr>
    <w:rPr>
      <w:rFonts w:ascii="David" w:eastAsia="David" w:hAnsi="David"/>
      <w:i/>
      <w:i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8524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nhideWhenUsed/>
    <w:rsid w:val="00A85247"/>
    <w:rPr>
      <w:rFonts w:ascii="Tahoma" w:hAnsi="Tahoma" w:cs="Tahoma"/>
      <w:sz w:val="16"/>
      <w:szCs w:val="16"/>
    </w:rPr>
  </w:style>
  <w:style w:type="character" w:customStyle="1" w:styleId="a5">
    <w:name w:val="טקסט בלונים תו"/>
    <w:basedOn w:val="a0"/>
    <w:link w:val="a4"/>
    <w:rsid w:val="00A85247"/>
    <w:rPr>
      <w:rFonts w:ascii="Tahoma" w:hAnsi="Tahoma" w:cs="Tahoma"/>
      <w:sz w:val="16"/>
      <w:szCs w:val="16"/>
    </w:rPr>
  </w:style>
  <w:style w:type="paragraph" w:styleId="a6">
    <w:name w:val="header"/>
    <w:basedOn w:val="a"/>
    <w:link w:val="a7"/>
    <w:unhideWhenUsed/>
    <w:rsid w:val="00E6645A"/>
    <w:pPr>
      <w:tabs>
        <w:tab w:val="center" w:pos="4153"/>
        <w:tab w:val="right" w:pos="8306"/>
      </w:tabs>
    </w:pPr>
  </w:style>
  <w:style w:type="character" w:customStyle="1" w:styleId="a7">
    <w:name w:val="כותרת עליונה תו"/>
    <w:basedOn w:val="a0"/>
    <w:link w:val="a6"/>
    <w:uiPriority w:val="99"/>
    <w:semiHidden/>
    <w:rsid w:val="00E6645A"/>
  </w:style>
  <w:style w:type="paragraph" w:styleId="a8">
    <w:name w:val="footer"/>
    <w:basedOn w:val="a"/>
    <w:link w:val="a9"/>
    <w:uiPriority w:val="99"/>
    <w:unhideWhenUsed/>
    <w:rsid w:val="00E6645A"/>
    <w:pPr>
      <w:tabs>
        <w:tab w:val="center" w:pos="4153"/>
        <w:tab w:val="right" w:pos="8306"/>
      </w:tabs>
    </w:pPr>
  </w:style>
  <w:style w:type="character" w:customStyle="1" w:styleId="a9">
    <w:name w:val="כותרת תחתונה תו"/>
    <w:basedOn w:val="a0"/>
    <w:link w:val="a8"/>
    <w:uiPriority w:val="99"/>
    <w:rsid w:val="00E6645A"/>
  </w:style>
  <w:style w:type="character" w:styleId="aa">
    <w:name w:val="page number"/>
    <w:basedOn w:val="a0"/>
    <w:rsid w:val="00D0443B"/>
  </w:style>
  <w:style w:type="paragraph" w:styleId="ab">
    <w:name w:val="Revision"/>
    <w:hidden/>
    <w:uiPriority w:val="99"/>
    <w:semiHidden/>
    <w:rsid w:val="0076341C"/>
    <w:pPr>
      <w:spacing w:after="0" w:line="240" w:lineRule="auto"/>
    </w:pPr>
  </w:style>
  <w:style w:type="paragraph" w:styleId="ac">
    <w:name w:val="List Paragraph"/>
    <w:basedOn w:val="a"/>
    <w:uiPriority w:val="34"/>
    <w:qFormat/>
    <w:rsid w:val="00003CC5"/>
    <w:pPr>
      <w:ind w:left="720"/>
    </w:pPr>
  </w:style>
  <w:style w:type="table" w:customStyle="1" w:styleId="TableGrid1">
    <w:name w:val="Table Grid1"/>
    <w:basedOn w:val="a1"/>
    <w:next w:val="a3"/>
    <w:uiPriority w:val="59"/>
    <w:rsid w:val="006F3E4F"/>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כותרת 1 תו"/>
    <w:basedOn w:val="a0"/>
    <w:link w:val="1"/>
    <w:uiPriority w:val="9"/>
    <w:rsid w:val="007606E7"/>
    <w:rPr>
      <w:rFonts w:ascii="David" w:hAnsi="David" w:cs="David"/>
      <w:b/>
      <w:bCs/>
      <w:sz w:val="24"/>
      <w:szCs w:val="24"/>
    </w:rPr>
  </w:style>
  <w:style w:type="character" w:customStyle="1" w:styleId="20">
    <w:name w:val="כותרת 2 תו"/>
    <w:basedOn w:val="a0"/>
    <w:link w:val="2"/>
    <w:uiPriority w:val="9"/>
    <w:rsid w:val="007606E7"/>
    <w:rPr>
      <w:rFonts w:ascii="David" w:eastAsia="David" w:hAnsi="David" w:cs="David"/>
      <w:sz w:val="24"/>
      <w:szCs w:val="24"/>
      <w:u w:val="single"/>
    </w:rPr>
  </w:style>
  <w:style w:type="character" w:customStyle="1" w:styleId="30">
    <w:name w:val="כותרת 3 תו"/>
    <w:basedOn w:val="a0"/>
    <w:link w:val="3"/>
    <w:uiPriority w:val="9"/>
    <w:rsid w:val="007606E7"/>
    <w:rPr>
      <w:rFonts w:ascii="David" w:eastAsia="David" w:hAnsi="David" w:cs="David"/>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19158D021A48449234D6B1A7DD7730" ma:contentTypeVersion="0" ma:contentTypeDescription="Create a new document." ma:contentTypeScope="" ma:versionID="cdec582a9fdaa644d72186c99c178d3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5984EF-3A5E-44D2-8087-A76CBD6EBC76}">
  <ds:schemaRefs>
    <ds:schemaRef ds:uri="http://schemas.openxmlformats.org/officeDocument/2006/bibliography"/>
  </ds:schemaRefs>
</ds:datastoreItem>
</file>

<file path=customXml/itemProps2.xml><?xml version="1.0" encoding="utf-8"?>
<ds:datastoreItem xmlns:ds="http://schemas.openxmlformats.org/officeDocument/2006/customXml" ds:itemID="{7C57F1DE-83A5-433F-9389-3372BB37D76B}">
  <ds:schemaRefs>
    <ds:schemaRef ds:uri="http://schemas.microsoft.com/office/2006/metadata/properties"/>
  </ds:schemaRefs>
</ds:datastoreItem>
</file>

<file path=customXml/itemProps3.xml><?xml version="1.0" encoding="utf-8"?>
<ds:datastoreItem xmlns:ds="http://schemas.openxmlformats.org/officeDocument/2006/customXml" ds:itemID="{C7711B82-15E3-41FF-A74C-ADB3783C97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5080F5D6-6585-4AF0-9ADA-1031599728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2652</Words>
  <Characters>12995</Characters>
  <Application>Microsoft Office Word</Application>
  <DocSecurity>0</DocSecurity>
  <Lines>295</Lines>
  <Paragraphs>81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15566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תיק 2/119/2024 בקשה 2/85/2025</dc:title>
  <dc:creator>susyl</dc:creator>
  <cp:keywords>Produced By WeCo Office Accessibilty</cp:keywords>
  <dc:description>שלב 4 - טיפול בתמונות וקישורים
</dc:description>
  <cp:lastModifiedBy>LIOR ALOMI</cp:lastModifiedBy>
  <cp:revision>3</cp:revision>
  <cp:lastPrinted>2025-08-14T06:02:00Z</cp:lastPrinted>
  <dcterms:created xsi:type="dcterms:W3CDTF">2025-08-14T06:02:00Z</dcterms:created>
  <dcterms:modified xsi:type="dcterms:W3CDTF">2025-08-14T06:08:00Z</dcterms:modified>
  <cp:category>Clean Validation report was produced on: 14/08/2025 09:02:07</cp:category>
  <dc:language>עברית</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0x010100B319158D021A48449234D6B1A7DD7730</vt:lpwstr>
  </property>
  <property fmtid="{D5CDD505-2E9C-101B-9397-08002B2CF9AE}" pid="3" name="DctmFieldsUpdated">
    <vt:bool>true</vt:bool>
  </property>
</Properties>
</file>