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C264E7" w:rsidRPr="008A7D76" w14:paraId="6846D75B" w14:textId="77777777" w:rsidTr="003C2B2D">
        <w:trPr>
          <w:cantSplit/>
        </w:trPr>
        <w:tc>
          <w:tcPr>
            <w:tcW w:w="3118" w:type="dxa"/>
          </w:tcPr>
          <w:p w14:paraId="7C065189" w14:textId="77777777" w:rsidR="00C264E7" w:rsidRPr="008A7D76" w:rsidRDefault="00C264E7" w:rsidP="00843A75">
            <w:pPr>
              <w:pStyle w:val="a6"/>
              <w:jc w:val="center"/>
              <w:rPr>
                <w:rFonts w:ascii="David" w:hAnsi="David"/>
                <w:b/>
                <w:bCs/>
                <w:sz w:val="24"/>
              </w:rPr>
            </w:pPr>
          </w:p>
        </w:tc>
        <w:tc>
          <w:tcPr>
            <w:tcW w:w="3686" w:type="dxa"/>
          </w:tcPr>
          <w:p w14:paraId="1972FA4B" w14:textId="77777777" w:rsidR="00C264E7" w:rsidRPr="008A7D76" w:rsidRDefault="00C264E7" w:rsidP="00843A75">
            <w:pPr>
              <w:pStyle w:val="a6"/>
              <w:jc w:val="center"/>
              <w:rPr>
                <w:rFonts w:ascii="David" w:hAnsi="David"/>
                <w:b/>
                <w:bCs/>
                <w:sz w:val="24"/>
                <w:rtl/>
              </w:rPr>
            </w:pPr>
          </w:p>
        </w:tc>
        <w:tc>
          <w:tcPr>
            <w:tcW w:w="4537" w:type="dxa"/>
          </w:tcPr>
          <w:p w14:paraId="6AF8DD18" w14:textId="77777777" w:rsidR="00C264E7" w:rsidRPr="008A7D76" w:rsidRDefault="00C264E7" w:rsidP="00843A75">
            <w:pPr>
              <w:rPr>
                <w:rFonts w:ascii="David" w:hAnsi="David"/>
                <w:sz w:val="24"/>
                <w:rtl/>
              </w:rPr>
            </w:pPr>
            <w:r w:rsidRPr="008A7D76">
              <w:rPr>
                <w:rFonts w:ascii="David" w:hAnsi="David" w:hint="cs"/>
                <w:b/>
                <w:bCs/>
                <w:sz w:val="24"/>
                <w:rtl/>
              </w:rPr>
              <w:t xml:space="preserve">בפני כבוד </w:t>
            </w:r>
            <w:r>
              <w:rPr>
                <w:rFonts w:ascii="David" w:hAnsi="David" w:hint="cs"/>
                <w:b/>
                <w:bCs/>
                <w:sz w:val="24"/>
                <w:rtl/>
              </w:rPr>
              <w:t>ה</w:t>
            </w:r>
            <w:r>
              <w:rPr>
                <w:rFonts w:ascii="David" w:hAnsi="David"/>
                <w:b/>
                <w:bCs/>
                <w:noProof/>
                <w:sz w:val="24"/>
                <w:rtl/>
              </w:rPr>
              <w:t>מפקח</w:t>
            </w:r>
            <w:r>
              <w:rPr>
                <w:rFonts w:ascii="David" w:hAnsi="David" w:hint="cs"/>
                <w:b/>
                <w:bCs/>
                <w:noProof/>
                <w:sz w:val="24"/>
                <w:rtl/>
              </w:rPr>
              <w:t>ת הבכירה</w:t>
            </w:r>
            <w:r>
              <w:rPr>
                <w:rFonts w:ascii="David" w:hAnsi="David"/>
                <w:b/>
                <w:bCs/>
                <w:noProof/>
                <w:sz w:val="24"/>
                <w:rtl/>
              </w:rPr>
              <w:t xml:space="preserve"> על רישום מקרקעין</w:t>
            </w:r>
            <w:r>
              <w:t xml:space="preserve"> </w:t>
            </w:r>
            <w:r>
              <w:rPr>
                <w:rFonts w:ascii="David" w:hAnsi="David"/>
                <w:b/>
                <w:bCs/>
                <w:noProof/>
                <w:sz w:val="24"/>
                <w:rtl/>
              </w:rPr>
              <w:t>אביטל  שרייבר</w:t>
            </w:r>
          </w:p>
        </w:tc>
      </w:tr>
    </w:tbl>
    <w:p w14:paraId="00C09ECC" w14:textId="77777777" w:rsidR="00C264E7" w:rsidRPr="00107339" w:rsidRDefault="00C264E7" w:rsidP="003C2B2D">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C264E7" w14:paraId="6CEBA587" w14:textId="77777777" w:rsidTr="003C2B2D">
        <w:trPr>
          <w:cantSplit/>
        </w:trPr>
        <w:tc>
          <w:tcPr>
            <w:tcW w:w="916" w:type="pct"/>
          </w:tcPr>
          <w:p w14:paraId="78989853" w14:textId="43961DFC" w:rsidR="00C264E7" w:rsidRDefault="00C264E7" w:rsidP="00843A75">
            <w:pPr>
              <w:spacing w:before="100" w:beforeAutospacing="1" w:after="100" w:afterAutospacing="1" w:line="276" w:lineRule="auto"/>
              <w:rPr>
                <w:rFonts w:ascii="David" w:hAnsi="David"/>
                <w:sz w:val="24"/>
                <w:rtl/>
              </w:rPr>
            </w:pPr>
            <w:r>
              <w:rPr>
                <w:rFonts w:ascii="David" w:hAnsi="David"/>
                <w:sz w:val="24"/>
                <w:rtl/>
              </w:rPr>
              <w:t>תובע</w:t>
            </w:r>
            <w:r>
              <w:rPr>
                <w:rFonts w:ascii="David" w:hAnsi="David" w:hint="cs"/>
                <w:sz w:val="24"/>
                <w:rtl/>
              </w:rPr>
              <w:t>ת</w:t>
            </w:r>
            <w:r w:rsidR="003C2B2D">
              <w:rPr>
                <w:rFonts w:ascii="David" w:hAnsi="David" w:hint="cs"/>
                <w:sz w:val="24"/>
                <w:rtl/>
              </w:rPr>
              <w:t>:</w:t>
            </w:r>
          </w:p>
        </w:tc>
        <w:tc>
          <w:tcPr>
            <w:tcW w:w="845" w:type="pct"/>
          </w:tcPr>
          <w:p w14:paraId="1118AC68" w14:textId="77777777" w:rsidR="00C264E7" w:rsidRDefault="00C264E7" w:rsidP="00843A75">
            <w:pPr>
              <w:spacing w:before="100" w:beforeAutospacing="1" w:after="100" w:afterAutospacing="1"/>
              <w:rPr>
                <w:rFonts w:ascii="David" w:hAnsi="David"/>
                <w:sz w:val="24"/>
              </w:rPr>
            </w:pPr>
          </w:p>
        </w:tc>
        <w:tc>
          <w:tcPr>
            <w:tcW w:w="352" w:type="pct"/>
          </w:tcPr>
          <w:p w14:paraId="7A9AC15C" w14:textId="77777777" w:rsidR="00C264E7" w:rsidRDefault="00C264E7" w:rsidP="00843A75">
            <w:pPr>
              <w:spacing w:before="100" w:beforeAutospacing="1" w:after="100" w:afterAutospacing="1"/>
              <w:rPr>
                <w:rFonts w:ascii="David" w:hAnsi="David"/>
                <w:sz w:val="24"/>
              </w:rPr>
            </w:pPr>
          </w:p>
        </w:tc>
        <w:tc>
          <w:tcPr>
            <w:tcW w:w="2887" w:type="pct"/>
          </w:tcPr>
          <w:p w14:paraId="1DF8CD60" w14:textId="3DE63543" w:rsidR="00C264E7" w:rsidRPr="0035773B" w:rsidRDefault="00C264E7" w:rsidP="00843A75">
            <w:pPr>
              <w:spacing w:before="100" w:beforeAutospacing="1" w:after="100" w:afterAutospacing="1" w:line="276" w:lineRule="auto"/>
              <w:rPr>
                <w:rFonts w:ascii="David" w:hAnsi="David"/>
                <w:b/>
                <w:bCs/>
                <w:sz w:val="24"/>
                <w:rtl/>
              </w:rPr>
            </w:pPr>
            <w:r w:rsidRPr="0035773B">
              <w:rPr>
                <w:rFonts w:ascii="David" w:hAnsi="David"/>
                <w:b/>
                <w:bCs/>
                <w:sz w:val="24"/>
                <w:rtl/>
              </w:rPr>
              <w:t>טל שלומית</w:t>
            </w:r>
            <w:r w:rsidRPr="0035773B">
              <w:rPr>
                <w:b/>
                <w:bCs/>
              </w:rPr>
              <w:br/>
            </w:r>
          </w:p>
        </w:tc>
      </w:tr>
      <w:tr w:rsidR="00C264E7" w14:paraId="36BD7FC7" w14:textId="77777777" w:rsidTr="003C2B2D">
        <w:trPr>
          <w:cantSplit/>
        </w:trPr>
        <w:tc>
          <w:tcPr>
            <w:tcW w:w="916" w:type="pct"/>
          </w:tcPr>
          <w:p w14:paraId="273A1B17" w14:textId="77777777" w:rsidR="00C264E7" w:rsidRDefault="00C264E7" w:rsidP="00843A75">
            <w:pPr>
              <w:spacing w:before="100" w:beforeAutospacing="1" w:after="100" w:afterAutospacing="1" w:line="276" w:lineRule="auto"/>
              <w:rPr>
                <w:rFonts w:ascii="David" w:hAnsi="David"/>
                <w:sz w:val="24"/>
                <w:rtl/>
              </w:rPr>
            </w:pPr>
          </w:p>
        </w:tc>
        <w:tc>
          <w:tcPr>
            <w:tcW w:w="845" w:type="pct"/>
          </w:tcPr>
          <w:p w14:paraId="7B2DFC52" w14:textId="77777777" w:rsidR="00C264E7" w:rsidRDefault="00C264E7" w:rsidP="00843A75">
            <w:pPr>
              <w:spacing w:before="100" w:beforeAutospacing="1" w:after="100" w:afterAutospacing="1"/>
              <w:rPr>
                <w:rFonts w:ascii="David" w:hAnsi="David"/>
                <w:sz w:val="24"/>
              </w:rPr>
            </w:pPr>
          </w:p>
        </w:tc>
        <w:tc>
          <w:tcPr>
            <w:tcW w:w="352" w:type="pct"/>
          </w:tcPr>
          <w:p w14:paraId="2E35D41F" w14:textId="77777777" w:rsidR="00C264E7" w:rsidRDefault="00C264E7" w:rsidP="00843A75">
            <w:pPr>
              <w:spacing w:before="100" w:beforeAutospacing="1" w:after="100" w:afterAutospacing="1"/>
              <w:rPr>
                <w:rFonts w:ascii="David" w:hAnsi="David"/>
                <w:sz w:val="24"/>
              </w:rPr>
            </w:pPr>
          </w:p>
        </w:tc>
        <w:tc>
          <w:tcPr>
            <w:tcW w:w="2887" w:type="pct"/>
          </w:tcPr>
          <w:p w14:paraId="62176654" w14:textId="77777777" w:rsidR="00C264E7" w:rsidRDefault="00C264E7" w:rsidP="00843A75">
            <w:pPr>
              <w:spacing w:before="100" w:beforeAutospacing="1" w:after="100" w:afterAutospacing="1" w:line="276" w:lineRule="auto"/>
              <w:rPr>
                <w:rFonts w:ascii="David" w:hAnsi="David"/>
                <w:sz w:val="24"/>
                <w:rtl/>
              </w:rPr>
            </w:pPr>
            <w:r>
              <w:rPr>
                <w:rFonts w:ascii="David" w:hAnsi="David"/>
                <w:sz w:val="24"/>
                <w:rtl/>
              </w:rPr>
              <w:t>באמצעות ב"כ: עו"ד צדוק אריאל</w:t>
            </w:r>
            <w:r>
              <w:br/>
            </w:r>
            <w:r>
              <w:rPr>
                <w:rFonts w:ascii="David" w:hAnsi="David"/>
                <w:sz w:val="24"/>
                <w:rtl/>
              </w:rPr>
              <w:t>ירושלים</w:t>
            </w:r>
            <w:r>
              <w:br/>
            </w:r>
            <w:r>
              <w:rPr>
                <w:rFonts w:ascii="David" w:hAnsi="David"/>
                <w:sz w:val="24"/>
                <w:rtl/>
              </w:rPr>
              <w:t>טל':0508887003 פקס:02 6250937</w:t>
            </w:r>
            <w:r>
              <w:br/>
            </w:r>
          </w:p>
        </w:tc>
      </w:tr>
      <w:tr w:rsidR="00C264E7" w14:paraId="10089A59" w14:textId="77777777" w:rsidTr="003C2B2D">
        <w:trPr>
          <w:cantSplit/>
        </w:trPr>
        <w:tc>
          <w:tcPr>
            <w:tcW w:w="916" w:type="pct"/>
          </w:tcPr>
          <w:p w14:paraId="1EDBD847" w14:textId="77777777" w:rsidR="00C264E7" w:rsidRDefault="00C264E7" w:rsidP="00843A75">
            <w:pPr>
              <w:spacing w:before="100" w:beforeAutospacing="1" w:after="100" w:afterAutospacing="1" w:line="276" w:lineRule="auto"/>
              <w:rPr>
                <w:rFonts w:ascii="David" w:hAnsi="David"/>
                <w:sz w:val="24"/>
                <w:rtl/>
              </w:rPr>
            </w:pPr>
          </w:p>
        </w:tc>
        <w:tc>
          <w:tcPr>
            <w:tcW w:w="845" w:type="pct"/>
          </w:tcPr>
          <w:p w14:paraId="7304CD3E" w14:textId="77777777" w:rsidR="00C264E7" w:rsidRDefault="00C264E7" w:rsidP="00843A75">
            <w:pPr>
              <w:spacing w:before="100" w:beforeAutospacing="1" w:after="100" w:afterAutospacing="1"/>
              <w:rPr>
                <w:rFonts w:ascii="David" w:hAnsi="David"/>
                <w:sz w:val="24"/>
              </w:rPr>
            </w:pPr>
          </w:p>
        </w:tc>
        <w:tc>
          <w:tcPr>
            <w:tcW w:w="352" w:type="pct"/>
          </w:tcPr>
          <w:p w14:paraId="1A42BF3C" w14:textId="77777777" w:rsidR="00C264E7" w:rsidRDefault="00C264E7" w:rsidP="00843A75">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0DAF1014" w14:textId="77777777" w:rsidR="00C264E7" w:rsidRDefault="00C264E7" w:rsidP="00843A75">
            <w:pPr>
              <w:spacing w:before="100" w:beforeAutospacing="1" w:after="100" w:afterAutospacing="1" w:line="276" w:lineRule="auto"/>
              <w:rPr>
                <w:rFonts w:ascii="David" w:hAnsi="David"/>
                <w:sz w:val="24"/>
                <w:rtl/>
              </w:rPr>
            </w:pPr>
          </w:p>
        </w:tc>
      </w:tr>
      <w:tr w:rsidR="00C264E7" w14:paraId="2638DA6F" w14:textId="77777777" w:rsidTr="003C2B2D">
        <w:trPr>
          <w:cantSplit/>
        </w:trPr>
        <w:tc>
          <w:tcPr>
            <w:tcW w:w="916" w:type="pct"/>
          </w:tcPr>
          <w:p w14:paraId="3515FBF5" w14:textId="710933CC" w:rsidR="00C264E7" w:rsidRDefault="00C264E7" w:rsidP="00843A75">
            <w:pPr>
              <w:spacing w:before="100" w:beforeAutospacing="1" w:after="100" w:afterAutospacing="1" w:line="276" w:lineRule="auto"/>
              <w:rPr>
                <w:rFonts w:ascii="David" w:hAnsi="David"/>
                <w:sz w:val="24"/>
                <w:rtl/>
              </w:rPr>
            </w:pPr>
            <w:r>
              <w:rPr>
                <w:rFonts w:ascii="David" w:hAnsi="David"/>
                <w:sz w:val="24"/>
                <w:rtl/>
              </w:rPr>
              <w:t>נתבע</w:t>
            </w:r>
            <w:r w:rsidR="003C2B2D">
              <w:rPr>
                <w:rFonts w:ascii="David" w:hAnsi="David" w:hint="cs"/>
                <w:sz w:val="24"/>
                <w:rtl/>
              </w:rPr>
              <w:t>:</w:t>
            </w:r>
          </w:p>
        </w:tc>
        <w:tc>
          <w:tcPr>
            <w:tcW w:w="845" w:type="pct"/>
          </w:tcPr>
          <w:p w14:paraId="276FC59D" w14:textId="77777777" w:rsidR="00C264E7" w:rsidRDefault="00C264E7" w:rsidP="00843A75">
            <w:pPr>
              <w:spacing w:before="100" w:beforeAutospacing="1" w:after="100" w:afterAutospacing="1"/>
              <w:rPr>
                <w:rFonts w:ascii="David" w:hAnsi="David"/>
                <w:sz w:val="24"/>
              </w:rPr>
            </w:pPr>
          </w:p>
        </w:tc>
        <w:tc>
          <w:tcPr>
            <w:tcW w:w="352" w:type="pct"/>
          </w:tcPr>
          <w:p w14:paraId="05FCE930" w14:textId="77777777" w:rsidR="00C264E7" w:rsidRDefault="00C264E7" w:rsidP="00843A75">
            <w:pPr>
              <w:spacing w:before="100" w:beforeAutospacing="1" w:after="100" w:afterAutospacing="1"/>
              <w:rPr>
                <w:rFonts w:ascii="David" w:hAnsi="David"/>
                <w:sz w:val="24"/>
              </w:rPr>
            </w:pPr>
          </w:p>
        </w:tc>
        <w:tc>
          <w:tcPr>
            <w:tcW w:w="2887" w:type="pct"/>
          </w:tcPr>
          <w:p w14:paraId="528A7F0C" w14:textId="2593750B" w:rsidR="00C264E7" w:rsidRPr="0035773B" w:rsidRDefault="00C264E7" w:rsidP="00843A75">
            <w:pPr>
              <w:spacing w:before="100" w:beforeAutospacing="1" w:after="100" w:afterAutospacing="1" w:line="276" w:lineRule="auto"/>
              <w:rPr>
                <w:rFonts w:ascii="David" w:hAnsi="David"/>
                <w:b/>
                <w:bCs/>
                <w:sz w:val="24"/>
                <w:rtl/>
              </w:rPr>
            </w:pPr>
            <w:r w:rsidRPr="0035773B">
              <w:rPr>
                <w:rFonts w:ascii="David" w:hAnsi="David"/>
                <w:b/>
                <w:bCs/>
                <w:sz w:val="24"/>
                <w:rtl/>
              </w:rPr>
              <w:t>פיסו נתנאל</w:t>
            </w:r>
            <w:r w:rsidRPr="0035773B">
              <w:rPr>
                <w:b/>
                <w:bCs/>
              </w:rPr>
              <w:br/>
            </w:r>
          </w:p>
        </w:tc>
      </w:tr>
      <w:tr w:rsidR="00C264E7" w14:paraId="21831377" w14:textId="77777777" w:rsidTr="003C2B2D">
        <w:trPr>
          <w:cantSplit/>
        </w:trPr>
        <w:tc>
          <w:tcPr>
            <w:tcW w:w="916" w:type="pct"/>
          </w:tcPr>
          <w:p w14:paraId="6E209D74" w14:textId="77777777" w:rsidR="00C264E7" w:rsidRDefault="00C264E7" w:rsidP="00843A75">
            <w:pPr>
              <w:spacing w:before="100" w:beforeAutospacing="1" w:after="100" w:afterAutospacing="1" w:line="276" w:lineRule="auto"/>
              <w:rPr>
                <w:rFonts w:ascii="David" w:hAnsi="David"/>
                <w:sz w:val="24"/>
                <w:rtl/>
              </w:rPr>
            </w:pPr>
          </w:p>
        </w:tc>
        <w:tc>
          <w:tcPr>
            <w:tcW w:w="845" w:type="pct"/>
          </w:tcPr>
          <w:p w14:paraId="74454FC4" w14:textId="77777777" w:rsidR="00C264E7" w:rsidRDefault="00C264E7" w:rsidP="00843A75">
            <w:pPr>
              <w:spacing w:before="100" w:beforeAutospacing="1" w:after="100" w:afterAutospacing="1"/>
              <w:rPr>
                <w:rFonts w:ascii="David" w:hAnsi="David"/>
                <w:sz w:val="24"/>
              </w:rPr>
            </w:pPr>
          </w:p>
        </w:tc>
        <w:tc>
          <w:tcPr>
            <w:tcW w:w="352" w:type="pct"/>
          </w:tcPr>
          <w:p w14:paraId="2212104F" w14:textId="77777777" w:rsidR="00C264E7" w:rsidRDefault="00C264E7" w:rsidP="00843A75">
            <w:pPr>
              <w:spacing w:before="100" w:beforeAutospacing="1" w:after="100" w:afterAutospacing="1"/>
              <w:rPr>
                <w:rFonts w:ascii="David" w:hAnsi="David"/>
                <w:sz w:val="24"/>
              </w:rPr>
            </w:pPr>
          </w:p>
        </w:tc>
        <w:tc>
          <w:tcPr>
            <w:tcW w:w="2887" w:type="pct"/>
          </w:tcPr>
          <w:p w14:paraId="2A087527" w14:textId="77777777" w:rsidR="00C264E7" w:rsidRDefault="00C264E7" w:rsidP="00843A75">
            <w:pPr>
              <w:spacing w:before="100" w:beforeAutospacing="1" w:after="100" w:afterAutospacing="1" w:line="276" w:lineRule="auto"/>
              <w:rPr>
                <w:rFonts w:ascii="David" w:hAnsi="David"/>
                <w:sz w:val="24"/>
                <w:rtl/>
              </w:rPr>
            </w:pPr>
            <w:r>
              <w:rPr>
                <w:rFonts w:ascii="David" w:hAnsi="David"/>
                <w:sz w:val="24"/>
                <w:rtl/>
              </w:rPr>
              <w:t>באמצעות ב"כ: עו"ד זקן שי</w:t>
            </w:r>
            <w:r>
              <w:br/>
            </w:r>
            <w:r>
              <w:rPr>
                <w:rFonts w:ascii="David" w:hAnsi="David"/>
                <w:sz w:val="24"/>
                <w:rtl/>
              </w:rPr>
              <w:t>נזר דוד 22, ירושלים</w:t>
            </w:r>
            <w:r>
              <w:br/>
            </w:r>
            <w:r>
              <w:rPr>
                <w:rFonts w:ascii="David" w:hAnsi="David"/>
                <w:sz w:val="24"/>
                <w:rtl/>
              </w:rPr>
              <w:t>טל':02 6411882 פקס:02 6411852</w:t>
            </w:r>
            <w:r>
              <w:br/>
            </w:r>
          </w:p>
        </w:tc>
      </w:tr>
    </w:tbl>
    <w:p w14:paraId="3C8E7BD8" w14:textId="77777777" w:rsidR="00C264E7" w:rsidRPr="008A7D76" w:rsidRDefault="00C264E7" w:rsidP="00C264E7">
      <w:pPr>
        <w:contextualSpacing w:val="0"/>
        <w:rPr>
          <w:rFonts w:ascii="David" w:hAnsi="David"/>
          <w:sz w:val="24"/>
        </w:rPr>
      </w:pPr>
    </w:p>
    <w:p w14:paraId="4131EF7A" w14:textId="77777777" w:rsidR="00C264E7" w:rsidRPr="008A7D76" w:rsidRDefault="00C264E7" w:rsidP="003C2B2D">
      <w:pPr>
        <w:spacing w:before="200"/>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33BCE547" w14:textId="77777777" w:rsidR="00C264E7" w:rsidRPr="00E17981" w:rsidRDefault="00C264E7" w:rsidP="00C264E7">
      <w:pPr>
        <w:spacing w:line="360" w:lineRule="auto"/>
        <w:jc w:val="both"/>
        <w:rPr>
          <w:rFonts w:ascii="David" w:hAnsi="David"/>
          <w:sz w:val="26"/>
          <w:szCs w:val="26"/>
          <w:rtl/>
        </w:rPr>
      </w:pPr>
      <w:r w:rsidRPr="00E17981">
        <w:rPr>
          <w:rFonts w:ascii="David" w:hAnsi="David"/>
          <w:sz w:val="26"/>
          <w:szCs w:val="26"/>
          <w:rtl/>
        </w:rPr>
        <w:t xml:space="preserve">עניינו של פסק דין זה הוא טענה לפגיעה בדירת התובעת בשל קיר שבנה הנתבע מול חלונות דירתה. </w:t>
      </w:r>
    </w:p>
    <w:p w14:paraId="70B492FB" w14:textId="77777777" w:rsidR="00C264E7" w:rsidRPr="00E17981" w:rsidRDefault="00C264E7" w:rsidP="00C264E7">
      <w:pPr>
        <w:spacing w:line="360" w:lineRule="auto"/>
        <w:jc w:val="both"/>
        <w:rPr>
          <w:rFonts w:ascii="David" w:hAnsi="David"/>
          <w:sz w:val="26"/>
          <w:szCs w:val="26"/>
          <w:rtl/>
        </w:rPr>
      </w:pPr>
    </w:p>
    <w:p w14:paraId="5A779E3E" w14:textId="77777777" w:rsidR="00C264E7" w:rsidRPr="00E17981" w:rsidRDefault="00C264E7" w:rsidP="00C264E7">
      <w:pPr>
        <w:pStyle w:val="ac"/>
        <w:numPr>
          <w:ilvl w:val="0"/>
          <w:numId w:val="15"/>
        </w:numPr>
        <w:spacing w:line="360" w:lineRule="auto"/>
        <w:jc w:val="both"/>
        <w:rPr>
          <w:rFonts w:ascii="David" w:hAnsi="David"/>
          <w:sz w:val="26"/>
          <w:szCs w:val="26"/>
          <w:rtl/>
        </w:rPr>
      </w:pPr>
      <w:r w:rsidRPr="00E17981">
        <w:rPr>
          <w:rFonts w:ascii="David" w:hAnsi="David"/>
          <w:sz w:val="26"/>
          <w:szCs w:val="26"/>
          <w:rtl/>
        </w:rPr>
        <w:t>הצדדים הם בעלי דירות בבית המשותף ברחוב חכמי יוסף 27 בירושלים, הידוע כגוש 30341 חלקה 220 (להלן – הבית המשותף). התובעת היא בעלת דירה הרשומה כתת חלקה 6 והנתבע הוא בעלים של דירה הרשומה כתת חלקה 4. הוריו של הנתבע מתגוררים בדירה. דירת הנתבע בקומת הקרקע, ודירת התובעת מעל דירת הנתבע.</w:t>
      </w:r>
    </w:p>
    <w:p w14:paraId="39FEA27D" w14:textId="77777777" w:rsidR="00C264E7" w:rsidRPr="00E17981" w:rsidRDefault="00C264E7" w:rsidP="00C264E7">
      <w:pPr>
        <w:spacing w:line="360" w:lineRule="auto"/>
        <w:jc w:val="both"/>
        <w:rPr>
          <w:rFonts w:ascii="David" w:hAnsi="David"/>
          <w:sz w:val="26"/>
          <w:szCs w:val="26"/>
          <w:rtl/>
        </w:rPr>
      </w:pPr>
    </w:p>
    <w:p w14:paraId="78AC79D0" w14:textId="77777777" w:rsidR="00C264E7" w:rsidRPr="00E17981" w:rsidRDefault="00C264E7" w:rsidP="00C264E7">
      <w:pPr>
        <w:pStyle w:val="ac"/>
        <w:numPr>
          <w:ilvl w:val="0"/>
          <w:numId w:val="15"/>
        </w:numPr>
        <w:spacing w:line="360" w:lineRule="auto"/>
        <w:jc w:val="both"/>
        <w:rPr>
          <w:rFonts w:ascii="David" w:hAnsi="David"/>
          <w:sz w:val="26"/>
          <w:szCs w:val="26"/>
          <w:rtl/>
        </w:rPr>
      </w:pPr>
      <w:r w:rsidRPr="00E17981">
        <w:rPr>
          <w:rFonts w:ascii="David" w:hAnsi="David"/>
          <w:sz w:val="26"/>
          <w:szCs w:val="26"/>
          <w:rtl/>
        </w:rPr>
        <w:t xml:space="preserve">בצדו המערבי של הבית המשותף קיים קיר אבן גבוה שנבנה בעת בניית הבית המשותף, קיר האבן תוחם את החצר הצמודה לדירת הנתבע וממשיך משני </w:t>
      </w:r>
      <w:proofErr w:type="spellStart"/>
      <w:r w:rsidRPr="00E17981">
        <w:rPr>
          <w:rFonts w:ascii="David" w:hAnsi="David"/>
          <w:sz w:val="26"/>
          <w:szCs w:val="26"/>
          <w:rtl/>
        </w:rPr>
        <w:t>צידיו</w:t>
      </w:r>
      <w:proofErr w:type="spellEnd"/>
      <w:r w:rsidRPr="00E17981">
        <w:rPr>
          <w:rFonts w:ascii="David" w:hAnsi="David"/>
          <w:sz w:val="26"/>
          <w:szCs w:val="26"/>
          <w:rtl/>
        </w:rPr>
        <w:t xml:space="preserve"> ותוחם חצרות של דירות נוספות. הקיר האמור נשקף מחלון דירת התובעת הנמצאת מעל דירת הנתבע. </w:t>
      </w:r>
    </w:p>
    <w:p w14:paraId="0BCA09B1" w14:textId="77777777" w:rsidR="00C264E7" w:rsidRPr="00E17981" w:rsidRDefault="00C264E7" w:rsidP="00C264E7">
      <w:pPr>
        <w:spacing w:line="360" w:lineRule="auto"/>
        <w:jc w:val="both"/>
        <w:rPr>
          <w:rFonts w:ascii="David" w:hAnsi="David"/>
          <w:b/>
          <w:bCs/>
          <w:sz w:val="26"/>
          <w:szCs w:val="26"/>
          <w:u w:val="single"/>
          <w:rtl/>
        </w:rPr>
      </w:pPr>
    </w:p>
    <w:p w14:paraId="60E278C8" w14:textId="77777777" w:rsidR="00C264E7" w:rsidRPr="00E17981" w:rsidRDefault="00C264E7" w:rsidP="003C2B2D">
      <w:pPr>
        <w:spacing w:line="360" w:lineRule="auto"/>
        <w:jc w:val="both"/>
        <w:outlineLvl w:val="1"/>
        <w:rPr>
          <w:rFonts w:ascii="David" w:hAnsi="David"/>
          <w:b/>
          <w:bCs/>
          <w:sz w:val="26"/>
          <w:szCs w:val="26"/>
          <w:u w:val="single"/>
          <w:rtl/>
        </w:rPr>
      </w:pPr>
      <w:r w:rsidRPr="00E17981">
        <w:rPr>
          <w:rFonts w:ascii="David" w:hAnsi="David"/>
          <w:b/>
          <w:bCs/>
          <w:sz w:val="26"/>
          <w:szCs w:val="26"/>
          <w:u w:val="single"/>
          <w:rtl/>
        </w:rPr>
        <w:t>עיקר טענות הצדדים</w:t>
      </w:r>
    </w:p>
    <w:p w14:paraId="6B40744F" w14:textId="77777777" w:rsidR="00C264E7" w:rsidRPr="00E17981" w:rsidRDefault="00C264E7" w:rsidP="00C264E7">
      <w:pPr>
        <w:spacing w:line="360" w:lineRule="auto"/>
        <w:jc w:val="both"/>
        <w:rPr>
          <w:rFonts w:ascii="David" w:hAnsi="David"/>
          <w:b/>
          <w:bCs/>
          <w:sz w:val="26"/>
          <w:szCs w:val="26"/>
          <w:u w:val="single"/>
          <w:rtl/>
        </w:rPr>
      </w:pPr>
    </w:p>
    <w:p w14:paraId="22BAEADE"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u w:val="single"/>
          <w:rtl/>
        </w:rPr>
        <w:t>לטענת התובעת</w:t>
      </w:r>
      <w:r w:rsidRPr="00E17981">
        <w:rPr>
          <w:rFonts w:ascii="David" w:hAnsi="David"/>
          <w:sz w:val="26"/>
          <w:szCs w:val="26"/>
          <w:rtl/>
        </w:rPr>
        <w:t xml:space="preserve">, בחודש אוגוסט 2022 בנה הנתבע באמצעות קבלן מטעמו קיר גבס המכסה את קיר האבן, ללא קבלת הסכמת מי מבעלי הדירות וללא היתר. קיר הגבס </w:t>
      </w:r>
      <w:r w:rsidRPr="00E17981">
        <w:rPr>
          <w:rFonts w:ascii="David" w:hAnsi="David"/>
          <w:sz w:val="26"/>
          <w:szCs w:val="26"/>
          <w:rtl/>
        </w:rPr>
        <w:lastRenderedPageBreak/>
        <w:t xml:space="preserve">הוא גדול, עבה, גבוה, ארוך ומאסיבי, ומקטין את המרחק בין קיר האבן המקורי לקיר דירת התובעת. האמור פגע בצורה משמעותית בדירת התובעת בשל השינוי במראה הנשקף מדירתה, שהיה אבן, ויצר מראה שונה, אפור קודר ואטום, ללא תחושת עומק ומרחב, היוצר תחושת אפלה, קדרות חוסר </w:t>
      </w:r>
      <w:proofErr w:type="spellStart"/>
      <w:r w:rsidRPr="00E17981">
        <w:rPr>
          <w:rFonts w:ascii="David" w:hAnsi="David"/>
          <w:sz w:val="26"/>
          <w:szCs w:val="26"/>
          <w:rtl/>
        </w:rPr>
        <w:t>אוריאנטציה</w:t>
      </w:r>
      <w:proofErr w:type="spellEnd"/>
      <w:r w:rsidRPr="00E17981">
        <w:rPr>
          <w:rFonts w:ascii="David" w:hAnsi="David"/>
          <w:sz w:val="26"/>
          <w:szCs w:val="26"/>
          <w:rtl/>
        </w:rPr>
        <w:t xml:space="preserve"> וחוסר נוחות בחדרי הדירה לאורך כל שעות היום אף כאשר עומדים בסמוך לחלונות החדרים המשקיפים אליו לא רק כשמביטים בהם מרחוק. </w:t>
      </w:r>
    </w:p>
    <w:p w14:paraId="77D11D56" w14:textId="77777777" w:rsidR="00C264E7" w:rsidRPr="00E17981" w:rsidRDefault="00C264E7" w:rsidP="00C264E7">
      <w:pPr>
        <w:pStyle w:val="ac"/>
        <w:spacing w:line="360" w:lineRule="auto"/>
        <w:jc w:val="both"/>
        <w:rPr>
          <w:rFonts w:ascii="David" w:hAnsi="David"/>
          <w:sz w:val="26"/>
          <w:szCs w:val="26"/>
        </w:rPr>
      </w:pPr>
    </w:p>
    <w:p w14:paraId="2C5F7284"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הנתבע אף פגע בקיר האבן המקורי. קיר האבן המקורי מעולם לא הסב נזק כלשהו לתובעת. אף אם היו נזילות בקיר, לא מדובר בליקוי בקיר עצמו, ואין הדבר מצדיק את בניית קיר הגבס, מה גם שהנתבע עצמו טען שהנזילות נובעות מגינת השכנים בחלקה העליונה הסמוכה. לפיכך היה על הנתבע למצות זכויותיו מול אותם שכנים. </w:t>
      </w:r>
    </w:p>
    <w:p w14:paraId="64B8F89C" w14:textId="77777777" w:rsidR="00C264E7" w:rsidRPr="00E17981" w:rsidRDefault="00C264E7" w:rsidP="00C264E7">
      <w:pPr>
        <w:pStyle w:val="ac"/>
        <w:spacing w:line="360" w:lineRule="auto"/>
        <w:rPr>
          <w:rFonts w:ascii="David" w:hAnsi="David"/>
          <w:sz w:val="26"/>
          <w:szCs w:val="26"/>
          <w:rtl/>
        </w:rPr>
      </w:pPr>
    </w:p>
    <w:p w14:paraId="27265D87"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הנתבע לא הציג כל ראיה לטענותיו כאילו היו ניסיונות במהלך השנים לפתור את בעיית הרטיבות מקיר האבן שלא נענו, או שלא ניתן לאטום את הקיר. בכתב התביעה שכנגד שהגיש הנתבע טען טענות סותרות כאילו נמצא פתרון מול בעלי החלקה הסמוכה אולם הוחלט שלא לבצעו מפאת מחירו. </w:t>
      </w:r>
    </w:p>
    <w:p w14:paraId="05DECA41" w14:textId="77777777" w:rsidR="00C264E7" w:rsidRPr="00E17981" w:rsidRDefault="00C264E7" w:rsidP="00C264E7">
      <w:pPr>
        <w:pStyle w:val="ac"/>
        <w:spacing w:line="360" w:lineRule="auto"/>
        <w:rPr>
          <w:rFonts w:ascii="David" w:hAnsi="David"/>
          <w:sz w:val="26"/>
          <w:szCs w:val="26"/>
          <w:rtl/>
        </w:rPr>
      </w:pPr>
    </w:p>
    <w:p w14:paraId="4F01DAA8"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מתחת לקיר האבן, בחצר הצמודה לדירת הנתבע, הייתה ערוגה שנועדה לקלוט את מי הגשמים, אך הנתבע הרס את הערוגה, ובכך יצר את הליקויים הנטענים על ידו בקיר האבן. </w:t>
      </w:r>
    </w:p>
    <w:p w14:paraId="152E3DF8" w14:textId="77777777" w:rsidR="00C264E7" w:rsidRPr="00E17981" w:rsidRDefault="00C264E7" w:rsidP="00C264E7">
      <w:pPr>
        <w:pStyle w:val="ac"/>
        <w:spacing w:line="360" w:lineRule="auto"/>
        <w:rPr>
          <w:rFonts w:ascii="David" w:hAnsi="David"/>
          <w:sz w:val="26"/>
          <w:szCs w:val="26"/>
          <w:rtl/>
        </w:rPr>
      </w:pPr>
    </w:p>
    <w:p w14:paraId="2A0C0BE4"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התובעת פנתה לנתבע טרם הגשת התביעה והפצירה בו להסיר את המפגע, אולם הוא התעלם, ולאחר הגשת התביעה הגיש תביעה שכנגד מופרכת בבקשה לחייבה לשלם לו חלק מעלות הקיר, תביעה שנמחקה בהמלצת המפקחת, והנתבע חויב בהוצאות. </w:t>
      </w:r>
    </w:p>
    <w:p w14:paraId="2B30F788" w14:textId="77777777" w:rsidR="00C264E7" w:rsidRPr="00E17981" w:rsidRDefault="00C264E7" w:rsidP="00C264E7">
      <w:pPr>
        <w:pStyle w:val="ac"/>
        <w:spacing w:line="360" w:lineRule="auto"/>
        <w:rPr>
          <w:rFonts w:ascii="David" w:hAnsi="David"/>
          <w:sz w:val="26"/>
          <w:szCs w:val="26"/>
          <w:rtl/>
        </w:rPr>
      </w:pPr>
    </w:p>
    <w:p w14:paraId="1094DDBF"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u w:val="single"/>
          <w:rtl/>
        </w:rPr>
        <w:t>לטענת הנתבע</w:t>
      </w:r>
      <w:r w:rsidRPr="00E17981">
        <w:rPr>
          <w:rFonts w:ascii="David" w:hAnsi="David"/>
          <w:sz w:val="26"/>
          <w:szCs w:val="26"/>
          <w:rtl/>
        </w:rPr>
        <w:t xml:space="preserve">, בקיר האבן האמור, המהווה רכוש משותף, היו במהלך השנים בעיות רטיבות חמורות, עובש וזיהם שגרמו למפגעים תברואתיים חמורים לכל הדיירים. למרות ניסיונות חוזרים ונשנים מצד הנתבע והוריו לפתור את הנזק מול בעלי החלקה הסמוכה, בעלי הדירות, נציגות הבית המשותף או הרשויות המוסמכות, לא נעשה דבר מצדם. הורי הנתבע סבלו ממפגע אסטטי ובטיחותי </w:t>
      </w:r>
      <w:proofErr w:type="spellStart"/>
      <w:r w:rsidRPr="00E17981">
        <w:rPr>
          <w:rFonts w:ascii="David" w:hAnsi="David"/>
          <w:sz w:val="26"/>
          <w:szCs w:val="26"/>
          <w:rtl/>
        </w:rPr>
        <w:t>ואמו</w:t>
      </w:r>
      <w:proofErr w:type="spellEnd"/>
      <w:r w:rsidRPr="00E17981">
        <w:rPr>
          <w:rFonts w:ascii="David" w:hAnsi="David"/>
          <w:sz w:val="26"/>
          <w:szCs w:val="26"/>
          <w:rtl/>
        </w:rPr>
        <w:t xml:space="preserve"> החליקה מספר פעמים בשל המים. </w:t>
      </w:r>
    </w:p>
    <w:p w14:paraId="3A0BAAD9" w14:textId="77777777" w:rsidR="00C264E7" w:rsidRPr="00E17981" w:rsidRDefault="00C264E7" w:rsidP="00C264E7">
      <w:pPr>
        <w:pStyle w:val="ac"/>
        <w:spacing w:line="360" w:lineRule="auto"/>
        <w:rPr>
          <w:rFonts w:ascii="David" w:hAnsi="David"/>
          <w:sz w:val="26"/>
          <w:szCs w:val="26"/>
          <w:rtl/>
        </w:rPr>
      </w:pPr>
    </w:p>
    <w:p w14:paraId="6CA62517"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מתוך דאגה להוריו הקשישים לקח הנתבע את המושכות לידיו וביצע חיפוי גבס לקיר האבן ברוחב של כ-10 ס"מ תוך צביעתו בגוון אפור בהיר על חשבונו בעלות של 93,600 ₪. </w:t>
      </w:r>
    </w:p>
    <w:p w14:paraId="3CE9D087" w14:textId="77777777" w:rsidR="00C264E7" w:rsidRPr="00E17981" w:rsidRDefault="00C264E7" w:rsidP="00C264E7">
      <w:pPr>
        <w:pStyle w:val="ac"/>
        <w:spacing w:line="360" w:lineRule="auto"/>
        <w:rPr>
          <w:rFonts w:ascii="David" w:hAnsi="David"/>
          <w:sz w:val="26"/>
          <w:szCs w:val="26"/>
          <w:rtl/>
        </w:rPr>
      </w:pPr>
    </w:p>
    <w:p w14:paraId="70F1978B"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התובעת הגישה את התביעה בשיהוי של כשנה וחצי, בטענה להסגת גבול פגיעה ברכוש המשותף ובנוף דירתה. </w:t>
      </w:r>
    </w:p>
    <w:p w14:paraId="7F4F9ACA" w14:textId="77777777" w:rsidR="00C264E7" w:rsidRPr="00E17981" w:rsidRDefault="00C264E7" w:rsidP="00C264E7">
      <w:pPr>
        <w:pStyle w:val="ac"/>
        <w:spacing w:line="360" w:lineRule="auto"/>
        <w:rPr>
          <w:rFonts w:ascii="David" w:hAnsi="David"/>
          <w:sz w:val="26"/>
          <w:szCs w:val="26"/>
          <w:rtl/>
        </w:rPr>
      </w:pPr>
    </w:p>
    <w:p w14:paraId="2BF23BC8"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לא מדובר בהסגת גבול שכן מדובר בקיר תמך המהווה רכוש משותף. הנתבע לא פגע ברכוש המשותף אלא שיפר את מצבו לרווחת כל בעלי הדירות. חלונות דירת התובעת בכל מקרה פונים לקיר, ואלמלא בניית קיר הגבס היה נצפה מהם קיר שחור עם ירוקת ועובש. ניתן להתרשם ממצב הקיר לפני בניית קיר הגבס מסרטון ותמונות שצורפו לכתב ההגנה ולא נסתרו. כעת הקיר אסתטי ונקי. מדובר בשימוש סביר ברכוש המשותף. הנתבע פעל באופן סביר לצמצום נזקיו. החיפוי אינו מהווה שינוי מהותי במבנה הקיר, הוא עשוי מגבס וניתן להסירו מבלי לפגוע בקיר. מטרתו לאפשר לדיירי הבניין לחיות חיים תקינים ובריאים. </w:t>
      </w:r>
    </w:p>
    <w:p w14:paraId="06EC4000" w14:textId="77777777" w:rsidR="00C264E7" w:rsidRPr="00E17981" w:rsidRDefault="00C264E7" w:rsidP="00C264E7">
      <w:pPr>
        <w:pStyle w:val="ac"/>
        <w:spacing w:line="360" w:lineRule="auto"/>
        <w:rPr>
          <w:rFonts w:ascii="David" w:hAnsi="David"/>
          <w:sz w:val="26"/>
          <w:szCs w:val="26"/>
          <w:rtl/>
        </w:rPr>
      </w:pPr>
    </w:p>
    <w:p w14:paraId="305FF965"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התקנון המוסכם של הבית המשותף מפנה בהקשר זה לתקנון המצוי. לפי סעיף 2(א) לתקנון המצוי, בעל דירה רשאי לעשות שינויים או תיקונים בדירתו כל עוד אינם פוגעים ברכוש המשותף או מסכנים את קיומו או את ערכו. הקיר לא עמד במבחן התקינות לפני בניית החיפוי ועל כן התיקון שלו אינו מהווה פגיעה ברכוש המשותף אלא שדרגו של קיר התמך. החיפו בוצע תוך הקפדה על תחום הרכוש המשותף, ניתן לראות את מיקום הקיר וגבולות הבית המשותף </w:t>
      </w:r>
      <w:proofErr w:type="spellStart"/>
      <w:r w:rsidRPr="00E17981">
        <w:rPr>
          <w:rFonts w:ascii="David" w:hAnsi="David"/>
          <w:sz w:val="26"/>
          <w:szCs w:val="26"/>
          <w:rtl/>
        </w:rPr>
        <w:t>בתשריט</w:t>
      </w:r>
      <w:proofErr w:type="spellEnd"/>
      <w:r w:rsidRPr="00E17981">
        <w:rPr>
          <w:rFonts w:ascii="David" w:hAnsi="David"/>
          <w:sz w:val="26"/>
          <w:szCs w:val="26"/>
          <w:rtl/>
        </w:rPr>
        <w:t xml:space="preserve"> הבית המשותף. </w:t>
      </w:r>
    </w:p>
    <w:p w14:paraId="6CEF76C6" w14:textId="77777777" w:rsidR="00C264E7" w:rsidRPr="00E17981" w:rsidRDefault="00C264E7" w:rsidP="00C264E7">
      <w:pPr>
        <w:pStyle w:val="ac"/>
        <w:spacing w:line="360" w:lineRule="auto"/>
        <w:rPr>
          <w:rFonts w:ascii="David" w:hAnsi="David"/>
          <w:sz w:val="26"/>
          <w:szCs w:val="26"/>
          <w:rtl/>
        </w:rPr>
      </w:pPr>
    </w:p>
    <w:p w14:paraId="39AC7707"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בעניין רוקר, באשר לסילוק יד נקבעו ארבעה שיקולים. בעניין אופי הזכות הקניינית שנפגעה, הרי שלא נגרמה פגיעה כלל, עוצמת הפגיעה הנטענת נמוכה, הסרת הפגיעה תהיה כרוכה בעלויות גבוהות עבור הנתבע, והתנהלות התובעת בשיהוי של שנה וחצי בהגשת התביעה, כאשר יכלה לבקש שינוי גוון הקיר בזמן אמת, אינה תקינה. לפיכך הנזק בהורדת הקיר גובר על הנזק הנטען על ידי התובעת.</w:t>
      </w:r>
    </w:p>
    <w:p w14:paraId="285F0D01" w14:textId="77777777" w:rsidR="00C264E7" w:rsidRPr="00E17981" w:rsidRDefault="00C264E7" w:rsidP="00C264E7">
      <w:pPr>
        <w:pStyle w:val="ac"/>
        <w:spacing w:line="360" w:lineRule="auto"/>
        <w:rPr>
          <w:rFonts w:ascii="David" w:hAnsi="David"/>
          <w:sz w:val="26"/>
          <w:szCs w:val="26"/>
          <w:rtl/>
        </w:rPr>
      </w:pPr>
    </w:p>
    <w:p w14:paraId="6182A173"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באיזון הראוי בין זכויות הצדדים יש להותיר את הקיר על כנו. </w:t>
      </w:r>
    </w:p>
    <w:p w14:paraId="6B789A8E" w14:textId="77777777" w:rsidR="00C264E7" w:rsidRPr="00E17981" w:rsidRDefault="00C264E7" w:rsidP="00C264E7">
      <w:pPr>
        <w:pStyle w:val="ac"/>
        <w:spacing w:line="360" w:lineRule="auto"/>
        <w:rPr>
          <w:rFonts w:ascii="David" w:hAnsi="David"/>
          <w:sz w:val="26"/>
          <w:szCs w:val="26"/>
          <w:rtl/>
        </w:rPr>
      </w:pPr>
    </w:p>
    <w:p w14:paraId="0CCE3B5D"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u w:val="single"/>
          <w:rtl/>
        </w:rPr>
        <w:t>לטענת התובעת בסיכומי התגובה</w:t>
      </w:r>
      <w:r w:rsidRPr="00E17981">
        <w:rPr>
          <w:rFonts w:ascii="David" w:hAnsi="David"/>
          <w:sz w:val="26"/>
          <w:szCs w:val="26"/>
          <w:rtl/>
        </w:rPr>
        <w:t xml:space="preserve">, הנתבע טען לראשונה בסיכומיו כי הקיר מהווה מפגש בטיחותי, וכי ניסה לפתור את הבעיה מול נציגות הבית המשותף. פעולת בניה ברכוש המשותף אינה שימוש סביר ברכוש המשותף. הנתבע מתעלם מסעיף 2(ב) לתקנון המצוי לעניין פגיעה בדירה אחרת. השיקולים בעניין רוקר דווקא מביאים למסקנה שיש לקבל את התביעה דנן. התביעה הוגשה כשנה לאחר הבניה לאחר שהתובעת ניסתה להגיע להסכמה על הריסת הקיר, ועל כן לא מדובר בשיהוי. </w:t>
      </w:r>
    </w:p>
    <w:p w14:paraId="5EC82956" w14:textId="77777777" w:rsidR="00C264E7" w:rsidRPr="00E17981" w:rsidRDefault="00C264E7" w:rsidP="00C264E7">
      <w:pPr>
        <w:pStyle w:val="ac"/>
        <w:spacing w:line="360" w:lineRule="auto"/>
        <w:rPr>
          <w:rFonts w:ascii="David" w:hAnsi="David"/>
          <w:sz w:val="26"/>
          <w:szCs w:val="26"/>
          <w:rtl/>
        </w:rPr>
      </w:pPr>
    </w:p>
    <w:p w14:paraId="3FE6BE2E" w14:textId="77777777" w:rsidR="00C264E7" w:rsidRPr="00E17981" w:rsidRDefault="00C264E7" w:rsidP="003C2B2D">
      <w:pPr>
        <w:spacing w:line="360" w:lineRule="auto"/>
        <w:jc w:val="both"/>
        <w:outlineLvl w:val="1"/>
        <w:rPr>
          <w:rFonts w:ascii="David" w:hAnsi="David"/>
          <w:sz w:val="26"/>
          <w:szCs w:val="26"/>
          <w:u w:val="single"/>
          <w:rtl/>
        </w:rPr>
      </w:pPr>
      <w:r w:rsidRPr="00E17981">
        <w:rPr>
          <w:rFonts w:ascii="David" w:hAnsi="David"/>
          <w:sz w:val="26"/>
          <w:szCs w:val="26"/>
          <w:u w:val="single"/>
          <w:rtl/>
        </w:rPr>
        <w:t>ההליך</w:t>
      </w:r>
    </w:p>
    <w:p w14:paraId="121AC0CF"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כתב התביעה נשוא ההליך הוגש ביום 9.8.2023. ביום 20.3.2024 הגיש הנתבע תביעה בדרישה לחייב את התובעת בחלק מעלות קיר הגבס (סך של 11,700 ₪). הדיון בתיקים אוחד, וביום 9.6.2024 התקיים דיון </w:t>
      </w:r>
      <w:proofErr w:type="spellStart"/>
      <w:r w:rsidRPr="00E17981">
        <w:rPr>
          <w:rFonts w:ascii="David" w:hAnsi="David"/>
          <w:sz w:val="26"/>
          <w:szCs w:val="26"/>
          <w:rtl/>
        </w:rPr>
        <w:t>קד"מ</w:t>
      </w:r>
      <w:proofErr w:type="spellEnd"/>
      <w:r w:rsidRPr="00E17981">
        <w:rPr>
          <w:rFonts w:ascii="David" w:hAnsi="David"/>
          <w:sz w:val="26"/>
          <w:szCs w:val="26"/>
          <w:rtl/>
        </w:rPr>
        <w:t xml:space="preserve">. לאחר הדיון ביקש הנתבע למחוק את התביעה שהגיש נגד התובעת, והתביעה שהגיש הנתבע נמחקה תוך חיוב הנתבע בהוצאות התובעת. </w:t>
      </w:r>
    </w:p>
    <w:p w14:paraId="27636D5D" w14:textId="77777777" w:rsidR="00C264E7" w:rsidRPr="00E17981" w:rsidRDefault="00C264E7" w:rsidP="00C264E7">
      <w:pPr>
        <w:pStyle w:val="ac"/>
        <w:spacing w:line="360" w:lineRule="auto"/>
        <w:jc w:val="both"/>
        <w:rPr>
          <w:rFonts w:ascii="David" w:hAnsi="David"/>
          <w:sz w:val="26"/>
          <w:szCs w:val="26"/>
        </w:rPr>
      </w:pPr>
    </w:p>
    <w:p w14:paraId="2C674A0D"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ביום 24.12.2024 התקיים ביקור במקום, בסיומו התבקשו הצדדים להודיע האם הם מסכימים שיינתן פסק דין על בסיס מסמכי התיק לאחר שייקבע מועד להגשת סיכומים בכתב, או שהם מבקשים לקיים הליך הגשת ראיות. הצדדים הסכימו להסדר הדיוני האמור, התיק נקבע להגשת סיכומים בכתב ואלו הוגשו. </w:t>
      </w:r>
    </w:p>
    <w:p w14:paraId="11909038" w14:textId="77777777" w:rsidR="00C264E7" w:rsidRPr="00E17981" w:rsidRDefault="00C264E7" w:rsidP="00C264E7">
      <w:pPr>
        <w:pStyle w:val="ac"/>
        <w:spacing w:line="360" w:lineRule="auto"/>
        <w:rPr>
          <w:rFonts w:ascii="David" w:hAnsi="David"/>
          <w:sz w:val="26"/>
          <w:szCs w:val="26"/>
          <w:rtl/>
        </w:rPr>
      </w:pPr>
    </w:p>
    <w:p w14:paraId="71F9705C" w14:textId="77777777" w:rsidR="00C264E7" w:rsidRPr="00E17981" w:rsidRDefault="00C264E7" w:rsidP="003C2B2D">
      <w:pPr>
        <w:spacing w:line="360" w:lineRule="auto"/>
        <w:jc w:val="both"/>
        <w:outlineLvl w:val="0"/>
        <w:rPr>
          <w:rFonts w:ascii="David" w:hAnsi="David"/>
          <w:b/>
          <w:bCs/>
          <w:sz w:val="26"/>
          <w:szCs w:val="26"/>
          <w:u w:val="single"/>
          <w:rtl/>
        </w:rPr>
      </w:pPr>
      <w:r w:rsidRPr="00E17981">
        <w:rPr>
          <w:rFonts w:ascii="David" w:hAnsi="David"/>
          <w:b/>
          <w:bCs/>
          <w:sz w:val="26"/>
          <w:szCs w:val="26"/>
          <w:u w:val="single"/>
          <w:rtl/>
        </w:rPr>
        <w:t>דיון והכרעה</w:t>
      </w:r>
    </w:p>
    <w:p w14:paraId="09586639" w14:textId="77777777" w:rsidR="00C264E7" w:rsidRPr="00E17981" w:rsidRDefault="00C264E7" w:rsidP="003C2B2D">
      <w:pPr>
        <w:spacing w:line="360" w:lineRule="auto"/>
        <w:jc w:val="both"/>
        <w:outlineLvl w:val="1"/>
        <w:rPr>
          <w:rFonts w:ascii="David" w:hAnsi="David"/>
          <w:sz w:val="26"/>
          <w:szCs w:val="26"/>
          <w:u w:val="single"/>
          <w:rtl/>
        </w:rPr>
      </w:pPr>
      <w:r w:rsidRPr="00E17981">
        <w:rPr>
          <w:rFonts w:ascii="David" w:hAnsi="David"/>
          <w:sz w:val="26"/>
          <w:szCs w:val="26"/>
          <w:u w:val="single"/>
          <w:rtl/>
        </w:rPr>
        <w:t>פגיעה בדירת התובעת</w:t>
      </w:r>
    </w:p>
    <w:p w14:paraId="1F56424B" w14:textId="77777777" w:rsidR="00C264E7" w:rsidRPr="00E17981" w:rsidRDefault="00C264E7" w:rsidP="00C264E7">
      <w:pPr>
        <w:spacing w:line="360" w:lineRule="auto"/>
        <w:jc w:val="both"/>
        <w:rPr>
          <w:rFonts w:ascii="David" w:hAnsi="David"/>
          <w:sz w:val="26"/>
          <w:szCs w:val="26"/>
          <w:rtl/>
        </w:rPr>
      </w:pPr>
    </w:p>
    <w:p w14:paraId="4B3A09D1"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noProof/>
          <w:sz w:val="26"/>
          <w:szCs w:val="26"/>
          <w:rtl/>
          <w:lang w:eastAsia="he-IL"/>
        </w:rPr>
        <w:t xml:space="preserve">סעיף 2 לתקנון המצוי , החל בענייננו, בהיעדר הוראה בתקנון המוסכם </w:t>
      </w:r>
      <w:r w:rsidRPr="00E17981">
        <w:rPr>
          <w:rFonts w:ascii="David" w:hAnsi="David"/>
          <w:sz w:val="26"/>
          <w:szCs w:val="26"/>
          <w:rtl/>
        </w:rPr>
        <w:t xml:space="preserve">ולאור הוראת סעיף 64 </w:t>
      </w:r>
      <w:r w:rsidRPr="00E17981">
        <w:rPr>
          <w:rFonts w:ascii="David" w:hAnsi="David"/>
          <w:b/>
          <w:bCs/>
          <w:sz w:val="26"/>
          <w:szCs w:val="26"/>
          <w:rtl/>
        </w:rPr>
        <w:t>לחוק המקרקעין, תשכ"ט – 1969</w:t>
      </w:r>
      <w:r w:rsidRPr="00E17981">
        <w:rPr>
          <w:rFonts w:ascii="David" w:hAnsi="David"/>
          <w:sz w:val="26"/>
          <w:szCs w:val="26"/>
          <w:rtl/>
        </w:rPr>
        <w:t xml:space="preserve"> (להלן: </w:t>
      </w:r>
      <w:r w:rsidRPr="00E17981">
        <w:rPr>
          <w:rFonts w:ascii="David" w:hAnsi="David"/>
          <w:b/>
          <w:bCs/>
          <w:sz w:val="26"/>
          <w:szCs w:val="26"/>
          <w:rtl/>
        </w:rPr>
        <w:t>חוק המקרקעין</w:t>
      </w:r>
      <w:r w:rsidRPr="00E17981">
        <w:rPr>
          <w:rFonts w:ascii="David" w:hAnsi="David"/>
          <w:sz w:val="26"/>
          <w:szCs w:val="26"/>
          <w:rtl/>
        </w:rPr>
        <w:t xml:space="preserve">) קובע:  </w:t>
      </w:r>
    </w:p>
    <w:p w14:paraId="0C977736" w14:textId="77777777" w:rsidR="00C264E7" w:rsidRPr="00E17981" w:rsidRDefault="00C264E7" w:rsidP="00C264E7">
      <w:pPr>
        <w:pStyle w:val="ac"/>
        <w:spacing w:line="360" w:lineRule="auto"/>
        <w:jc w:val="both"/>
        <w:rPr>
          <w:rFonts w:ascii="David" w:hAnsi="David"/>
          <w:sz w:val="26"/>
          <w:szCs w:val="26"/>
          <w:rtl/>
        </w:rPr>
      </w:pPr>
    </w:p>
    <w:p w14:paraId="29C515C1" w14:textId="77777777" w:rsidR="00C264E7" w:rsidRPr="00E17981" w:rsidRDefault="00C264E7" w:rsidP="00C264E7">
      <w:pPr>
        <w:pStyle w:val="ac"/>
        <w:spacing w:line="360" w:lineRule="auto"/>
        <w:ind w:left="1416" w:right="1134"/>
        <w:jc w:val="both"/>
        <w:rPr>
          <w:rFonts w:ascii="David" w:hAnsi="David"/>
          <w:b/>
          <w:bCs/>
          <w:noProof/>
          <w:sz w:val="26"/>
          <w:szCs w:val="26"/>
          <w:rtl/>
          <w:lang w:eastAsia="he-IL"/>
        </w:rPr>
      </w:pPr>
      <w:r w:rsidRPr="00E17981">
        <w:rPr>
          <w:rFonts w:ascii="David" w:hAnsi="David"/>
          <w:noProof/>
          <w:sz w:val="26"/>
          <w:szCs w:val="26"/>
          <w:rtl/>
          <w:lang w:eastAsia="he-IL"/>
        </w:rPr>
        <w:t xml:space="preserve">" </w:t>
      </w:r>
      <w:r w:rsidRPr="00E17981">
        <w:rPr>
          <w:rFonts w:ascii="David" w:hAnsi="David"/>
          <w:b/>
          <w:bCs/>
          <w:noProof/>
          <w:sz w:val="26"/>
          <w:szCs w:val="26"/>
          <w:rtl/>
          <w:lang w:eastAsia="he-IL"/>
        </w:rPr>
        <w:t>(א)</w:t>
      </w:r>
      <w:r w:rsidRPr="00E17981">
        <w:rPr>
          <w:rFonts w:ascii="David" w:hAnsi="David"/>
          <w:noProof/>
          <w:sz w:val="26"/>
          <w:szCs w:val="26"/>
          <w:rtl/>
          <w:lang w:eastAsia="he-IL"/>
        </w:rPr>
        <w:t xml:space="preserve"> </w:t>
      </w:r>
      <w:r w:rsidRPr="00E17981">
        <w:rPr>
          <w:rFonts w:ascii="David" w:hAnsi="David"/>
          <w:b/>
          <w:bCs/>
          <w:noProof/>
          <w:sz w:val="26"/>
          <w:szCs w:val="26"/>
          <w:rtl/>
          <w:lang w:eastAsia="he-IL"/>
        </w:rPr>
        <w:t xml:space="preserve">בעל דירה אינו רשאי לעשות בדירתו שינויים או תיקונים הפוגעים ברכוש המשותף או מסכנים או עשויים לסכן את קיומו או משנים או עשויים לשנות את ערכו, אלא אם קיבל תחילה הסכמת האסיפה הכללית של בעלי הדירות. לענין זה, </w:t>
      </w:r>
      <w:r w:rsidRPr="00E17981">
        <w:rPr>
          <w:rFonts w:ascii="David" w:hAnsi="David"/>
          <w:b/>
          <w:bCs/>
          <w:noProof/>
          <w:sz w:val="26"/>
          <w:szCs w:val="26"/>
          <w:rtl/>
          <w:lang w:eastAsia="he-IL"/>
        </w:rPr>
        <w:lastRenderedPageBreak/>
        <w:t>"פגיעה ברכוש המשותף" - לרבות פגיעה בחזותו החיצונית התקינה והאחידה כפי שהיתה בעת גמר הבניה.</w:t>
      </w:r>
    </w:p>
    <w:p w14:paraId="08E05D5D" w14:textId="77777777" w:rsidR="00C264E7" w:rsidRPr="00E17981" w:rsidRDefault="00C264E7" w:rsidP="00C264E7">
      <w:pPr>
        <w:widowControl w:val="0"/>
        <w:tabs>
          <w:tab w:val="left" w:pos="624"/>
          <w:tab w:val="left" w:pos="1021"/>
          <w:tab w:val="left" w:pos="1474"/>
          <w:tab w:val="left" w:pos="1928"/>
          <w:tab w:val="left" w:pos="2381"/>
          <w:tab w:val="left" w:pos="2835"/>
          <w:tab w:val="right" w:leader="dot" w:pos="6259"/>
        </w:tabs>
        <w:suppressAutoHyphens/>
        <w:autoSpaceDE w:val="0"/>
        <w:autoSpaceDN w:val="0"/>
        <w:spacing w:before="72" w:line="360" w:lineRule="auto"/>
        <w:ind w:left="1416" w:right="1134"/>
        <w:jc w:val="both"/>
        <w:rPr>
          <w:rFonts w:ascii="David" w:hAnsi="David"/>
          <w:b/>
          <w:bCs/>
          <w:noProof/>
          <w:sz w:val="26"/>
          <w:szCs w:val="26"/>
          <w:rtl/>
          <w:lang w:eastAsia="he-IL"/>
        </w:rPr>
      </w:pPr>
      <w:r w:rsidRPr="00E17981">
        <w:rPr>
          <w:rFonts w:ascii="David" w:hAnsi="David"/>
          <w:b/>
          <w:bCs/>
          <w:noProof/>
          <w:sz w:val="26"/>
          <w:szCs w:val="26"/>
          <w:rtl/>
          <w:lang w:eastAsia="he-IL"/>
        </w:rPr>
        <w:tab/>
        <w:t>(ב)</w:t>
      </w:r>
      <w:r w:rsidRPr="00E17981">
        <w:rPr>
          <w:rFonts w:ascii="David" w:hAnsi="David"/>
          <w:b/>
          <w:bCs/>
          <w:noProof/>
          <w:sz w:val="26"/>
          <w:szCs w:val="26"/>
          <w:rtl/>
          <w:lang w:eastAsia="he-IL"/>
        </w:rPr>
        <w:tab/>
        <w:t>בעל דירה אינו רשאי לעשות בדירתו שינויים או תיקונים הפוגעים בדירה אחרת או מסכנים או עשויים לסכן את קיומה, או משנים או עשויים לשנות את ערכה, אלא אם קיבל תחילה הסכמת בעל הדירה האחרת.</w:t>
      </w:r>
    </w:p>
    <w:p w14:paraId="226A80DE" w14:textId="77777777" w:rsidR="00C264E7" w:rsidRPr="00E17981" w:rsidRDefault="00C264E7" w:rsidP="00C264E7">
      <w:pPr>
        <w:widowControl w:val="0"/>
        <w:tabs>
          <w:tab w:val="left" w:pos="624"/>
          <w:tab w:val="left" w:pos="1021"/>
          <w:tab w:val="left" w:pos="1474"/>
          <w:tab w:val="left" w:pos="1928"/>
          <w:tab w:val="left" w:pos="2381"/>
          <w:tab w:val="left" w:pos="2835"/>
          <w:tab w:val="right" w:leader="dot" w:pos="6259"/>
        </w:tabs>
        <w:suppressAutoHyphens/>
        <w:autoSpaceDE w:val="0"/>
        <w:autoSpaceDN w:val="0"/>
        <w:spacing w:before="72" w:line="360" w:lineRule="auto"/>
        <w:ind w:right="1134"/>
        <w:jc w:val="both"/>
        <w:rPr>
          <w:rFonts w:ascii="David" w:hAnsi="David"/>
          <w:b/>
          <w:bCs/>
          <w:noProof/>
          <w:sz w:val="26"/>
          <w:szCs w:val="26"/>
          <w:rtl/>
          <w:lang w:eastAsia="he-IL"/>
        </w:rPr>
      </w:pPr>
    </w:p>
    <w:p w14:paraId="6ADE9472"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התובעת טוענת לפגיעה בדירתה בגין קיר הגבס האמור, בשל המראה הנשקף כעת מחלונות דירתה, ולפיכך יש לבחון האם הנתבע עומד בתנאי סעיף 2(ב) האמור. </w:t>
      </w:r>
    </w:p>
    <w:p w14:paraId="77F1C469" w14:textId="77777777" w:rsidR="00C264E7" w:rsidRPr="00E17981" w:rsidRDefault="00C264E7" w:rsidP="00C264E7">
      <w:pPr>
        <w:pStyle w:val="ac"/>
        <w:spacing w:line="360" w:lineRule="auto"/>
        <w:jc w:val="both"/>
        <w:rPr>
          <w:rFonts w:ascii="David" w:hAnsi="David"/>
          <w:sz w:val="26"/>
          <w:szCs w:val="26"/>
          <w:rtl/>
        </w:rPr>
      </w:pPr>
    </w:p>
    <w:p w14:paraId="1108D8AC"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אין מחלוקת שהתובעת לא נתנה הסכמה לבניית הקיר האמור. למעשה, ובהיעדר ראיות אחרות מטעם הנתבע, עולה כי אף לא התבקשה כל הסכמה מהתובעת טרם בניית הקיר. </w:t>
      </w:r>
    </w:p>
    <w:p w14:paraId="1B6D00F3" w14:textId="77777777" w:rsidR="00C264E7" w:rsidRPr="00E17981" w:rsidRDefault="00C264E7" w:rsidP="00C264E7">
      <w:pPr>
        <w:pStyle w:val="ac"/>
        <w:spacing w:line="360" w:lineRule="auto"/>
        <w:rPr>
          <w:rFonts w:ascii="David" w:hAnsi="David"/>
          <w:sz w:val="26"/>
          <w:szCs w:val="26"/>
          <w:rtl/>
        </w:rPr>
      </w:pPr>
    </w:p>
    <w:p w14:paraId="3FCA222D"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במסגרת הביקור, נבחנה באופן בלתי אמצעי הפגיעה הנטענת על ידי התובעת. נצפה קיר הגבס האמור המשתרע לאורך החצר (כ-13 מ') ולגובה של כ-8 מ', כאשר הוא עובר את גובה דירת הנתבע וממשיך מעליה אל מול דירת התובעת (ר' פרוטוקול הביקור מיום 24.12.2024, עמוד 1 שורות 5-9). יוער כי על אף שהוצע לנתבע, במסגרת הביקור, לעלות לדירת התובעת ולהתרשם באופן אישי מהפגיעה הנטענת, החליט הנתבע שלא לעלות לדירת התובעת, ורק בא כוחו נכח מטעמו בחלק זה של הביקור (עמוד 2 שורות 11-15). להלן יובאו הדברים כפי שנרשמו בביקור על פי התרשמותי הישירה (עמוד 2 שורות 5-9):</w:t>
      </w:r>
    </w:p>
    <w:p w14:paraId="488DDF28" w14:textId="77777777" w:rsidR="00C264E7" w:rsidRPr="00E17981" w:rsidRDefault="00C264E7" w:rsidP="00C264E7">
      <w:pPr>
        <w:pStyle w:val="ac"/>
        <w:spacing w:line="360" w:lineRule="auto"/>
        <w:rPr>
          <w:rFonts w:ascii="David" w:hAnsi="David"/>
          <w:sz w:val="26"/>
          <w:szCs w:val="26"/>
          <w:rtl/>
        </w:rPr>
      </w:pPr>
    </w:p>
    <w:p w14:paraId="05B6CDF6" w14:textId="77777777" w:rsidR="00C264E7" w:rsidRPr="00E17981" w:rsidRDefault="00C264E7" w:rsidP="00C264E7">
      <w:pPr>
        <w:pStyle w:val="ac"/>
        <w:spacing w:line="360" w:lineRule="auto"/>
        <w:ind w:left="1440"/>
        <w:jc w:val="both"/>
        <w:rPr>
          <w:rFonts w:ascii="David" w:hAnsi="David"/>
          <w:sz w:val="26"/>
          <w:szCs w:val="26"/>
          <w:rtl/>
        </w:rPr>
      </w:pPr>
      <w:r w:rsidRPr="00E17981">
        <w:rPr>
          <w:rFonts w:ascii="David" w:hAnsi="David"/>
          <w:sz w:val="26"/>
          <w:szCs w:val="26"/>
          <w:rtl/>
        </w:rPr>
        <w:t xml:space="preserve">"ממשיכים לחדרי השינה (בדירת התובעת, א.ש), מחלון חדר השינה צופים בקיר הגבס (צולמה תמונה). ממשיכים לחדר שינה נוסף ממנו נצפה קיר הגבס (צולמה תמונה). יוער כי גם כאשר עומדים סמוך לחלונות שני חדרי השינה, ומביטים קדימה, כל שרואים הוא מראה קיר הגבס האמור. בשל צבע הקיר והמרקם שלו, האפקט שנוצר במבט לחלונות חדרי השינה, הוא של חלל אטום אפור חסר </w:t>
      </w:r>
      <w:proofErr w:type="spellStart"/>
      <w:r w:rsidRPr="00E17981">
        <w:rPr>
          <w:rFonts w:ascii="David" w:hAnsi="David"/>
          <w:sz w:val="26"/>
          <w:szCs w:val="26"/>
          <w:rtl/>
        </w:rPr>
        <w:t>אוריאנטציה</w:t>
      </w:r>
      <w:proofErr w:type="spellEnd"/>
      <w:r w:rsidRPr="00E17981">
        <w:rPr>
          <w:rFonts w:ascii="David" w:hAnsi="David"/>
          <w:sz w:val="26"/>
          <w:szCs w:val="26"/>
          <w:rtl/>
        </w:rPr>
        <w:t xml:space="preserve">, אשר לטעם הח"מ מייצר תחושת אי נוחות משמעותית בחדר". </w:t>
      </w:r>
    </w:p>
    <w:p w14:paraId="51081455" w14:textId="77777777" w:rsidR="00C264E7" w:rsidRPr="00E17981" w:rsidRDefault="00C264E7" w:rsidP="00C264E7">
      <w:pPr>
        <w:spacing w:line="360" w:lineRule="auto"/>
        <w:jc w:val="both"/>
        <w:rPr>
          <w:rFonts w:ascii="David" w:hAnsi="David"/>
          <w:sz w:val="26"/>
          <w:szCs w:val="26"/>
          <w:rtl/>
        </w:rPr>
      </w:pPr>
    </w:p>
    <w:p w14:paraId="3E00E309" w14:textId="77777777" w:rsidR="00C264E7" w:rsidRPr="00E17981" w:rsidRDefault="00C264E7" w:rsidP="00C264E7">
      <w:pPr>
        <w:spacing w:line="360" w:lineRule="auto"/>
        <w:ind w:firstLine="720"/>
        <w:jc w:val="both"/>
        <w:rPr>
          <w:rFonts w:ascii="David" w:hAnsi="David"/>
          <w:sz w:val="26"/>
          <w:szCs w:val="26"/>
          <w:rtl/>
        </w:rPr>
      </w:pPr>
      <w:r w:rsidRPr="00E17981">
        <w:rPr>
          <w:rFonts w:ascii="David" w:hAnsi="David"/>
          <w:sz w:val="26"/>
          <w:szCs w:val="26"/>
          <w:rtl/>
        </w:rPr>
        <w:lastRenderedPageBreak/>
        <w:t>להלן תמונות שצולמו במסגרת הביקור, של המראה הניבט מחלון חדר השינה:</w:t>
      </w:r>
    </w:p>
    <w:p w14:paraId="4312A829" w14:textId="77777777" w:rsidR="00C264E7" w:rsidRPr="00E17981" w:rsidRDefault="00C264E7" w:rsidP="00C264E7">
      <w:pPr>
        <w:spacing w:line="360" w:lineRule="auto"/>
        <w:ind w:firstLine="720"/>
        <w:jc w:val="both"/>
        <w:rPr>
          <w:rFonts w:ascii="David" w:hAnsi="David"/>
          <w:sz w:val="26"/>
          <w:szCs w:val="26"/>
          <w:rtl/>
        </w:rPr>
      </w:pPr>
    </w:p>
    <w:p w14:paraId="3DCA0935" w14:textId="77777777" w:rsidR="00C264E7" w:rsidRPr="00E17981" w:rsidRDefault="00C264E7" w:rsidP="00C264E7">
      <w:pPr>
        <w:pStyle w:val="NormalWeb"/>
        <w:spacing w:line="360" w:lineRule="auto"/>
        <w:rPr>
          <w:rFonts w:ascii="David" w:hAnsi="David" w:cs="David"/>
          <w:sz w:val="26"/>
          <w:szCs w:val="26"/>
        </w:rPr>
      </w:pPr>
      <w:r w:rsidRPr="00E17981">
        <w:rPr>
          <w:rFonts w:ascii="David" w:hAnsi="David" w:cs="David"/>
          <w:noProof/>
          <w:sz w:val="26"/>
          <w:szCs w:val="26"/>
        </w:rPr>
        <w:drawing>
          <wp:inline distT="0" distB="0" distL="0" distR="0" wp14:anchorId="3BDAA2B3" wp14:editId="0BA08CD7">
            <wp:extent cx="2147888" cy="2863850"/>
            <wp:effectExtent l="0" t="0" r="5080" b="0"/>
            <wp:docPr id="2" name="תמונה 2" descr="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תמונה"/>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1865" cy="2869152"/>
                    </a:xfrm>
                    <a:prstGeom prst="rect">
                      <a:avLst/>
                    </a:prstGeom>
                    <a:noFill/>
                    <a:ln>
                      <a:noFill/>
                    </a:ln>
                  </pic:spPr>
                </pic:pic>
              </a:graphicData>
            </a:graphic>
          </wp:inline>
        </w:drawing>
      </w:r>
      <w:r w:rsidRPr="00E17981">
        <w:rPr>
          <w:rFonts w:ascii="David" w:hAnsi="David" w:cs="David"/>
          <w:noProof/>
          <w:sz w:val="26"/>
          <w:szCs w:val="26"/>
        </w:rPr>
        <w:drawing>
          <wp:inline distT="0" distB="0" distL="0" distR="0" wp14:anchorId="234BB0DA" wp14:editId="5448B0A6">
            <wp:extent cx="2150269" cy="2867025"/>
            <wp:effectExtent l="0" t="0" r="2540" b="0"/>
            <wp:docPr id="3" name="תמונה 3" descr="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תמונה"/>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3648" cy="2871531"/>
                    </a:xfrm>
                    <a:prstGeom prst="rect">
                      <a:avLst/>
                    </a:prstGeom>
                    <a:noFill/>
                    <a:ln>
                      <a:noFill/>
                    </a:ln>
                  </pic:spPr>
                </pic:pic>
              </a:graphicData>
            </a:graphic>
          </wp:inline>
        </w:drawing>
      </w:r>
    </w:p>
    <w:p w14:paraId="0AD007B4" w14:textId="77777777" w:rsidR="00C264E7" w:rsidRPr="00E17981" w:rsidRDefault="00C264E7" w:rsidP="00C264E7">
      <w:pPr>
        <w:spacing w:line="360" w:lineRule="auto"/>
        <w:ind w:firstLine="720"/>
        <w:jc w:val="both"/>
        <w:rPr>
          <w:rFonts w:ascii="David" w:hAnsi="David"/>
          <w:sz w:val="26"/>
          <w:szCs w:val="26"/>
          <w:rtl/>
        </w:rPr>
      </w:pPr>
    </w:p>
    <w:p w14:paraId="69C448DF" w14:textId="77777777" w:rsidR="00C264E7" w:rsidRPr="00E17981" w:rsidRDefault="00C264E7" w:rsidP="00C264E7">
      <w:pPr>
        <w:pStyle w:val="NormalWeb"/>
        <w:spacing w:line="360" w:lineRule="auto"/>
        <w:rPr>
          <w:rFonts w:ascii="David" w:hAnsi="David" w:cs="David"/>
          <w:sz w:val="26"/>
          <w:szCs w:val="26"/>
        </w:rPr>
      </w:pPr>
    </w:p>
    <w:p w14:paraId="2A2C93F7" w14:textId="77777777" w:rsidR="00C264E7" w:rsidRPr="00E17981" w:rsidRDefault="00C264E7" w:rsidP="00C264E7">
      <w:pPr>
        <w:spacing w:line="360" w:lineRule="auto"/>
        <w:ind w:left="720" w:hanging="720"/>
        <w:jc w:val="both"/>
        <w:rPr>
          <w:rFonts w:ascii="David" w:hAnsi="David"/>
          <w:sz w:val="26"/>
          <w:szCs w:val="26"/>
          <w:rtl/>
        </w:rPr>
      </w:pPr>
      <w:r w:rsidRPr="00E17981">
        <w:rPr>
          <w:rFonts w:ascii="David" w:hAnsi="David"/>
          <w:sz w:val="26"/>
          <w:szCs w:val="26"/>
          <w:rtl/>
        </w:rPr>
        <w:tab/>
        <w:t xml:space="preserve">יוער כי אין בתמונות די כדי להעביר את התחושה המטרידה הנוצרת מהשהות בחדרים בשל המראה הניבט מהחלון. </w:t>
      </w:r>
    </w:p>
    <w:p w14:paraId="0B35355D" w14:textId="77777777" w:rsidR="00C264E7" w:rsidRPr="00E17981" w:rsidRDefault="00C264E7" w:rsidP="00C264E7">
      <w:pPr>
        <w:spacing w:line="360" w:lineRule="auto"/>
        <w:ind w:left="720" w:hanging="720"/>
        <w:jc w:val="both"/>
        <w:rPr>
          <w:rFonts w:ascii="David" w:hAnsi="David"/>
          <w:sz w:val="26"/>
          <w:szCs w:val="26"/>
          <w:rtl/>
        </w:rPr>
      </w:pPr>
    </w:p>
    <w:p w14:paraId="134CE0F8"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במהלך הביקור אף נצפה חלק של קיר האבן שלא חופה בקיר גבס, באזור הדירות הסמוכות לדירת הנתבע, חלק זה של הקיר אינו נמצא מול חלונות דירת התובעת. סביר להניח שקיר האבן המקורי הנמצא כיום מאחורי קיר הגבס, דומה במראהו לחלקי אותו קיר הנמצאים מצדיו ולא חופו בגבס. גם מתמונות שצירף הנתבע לכתב ההגנה של קיר האבן המקורי, נצפה הקיר כשהוא דומה במראהו להמשך הקיר כפי שנצפה במסגרת הביקור (גם אם כולל כתמי רטיבות עובש במקומות מסוימים, לאו דווקא מול דירת התובעת, שכן התמונות לא צולמו מדירתה). </w:t>
      </w:r>
    </w:p>
    <w:p w14:paraId="075F35B5" w14:textId="77777777" w:rsidR="00C264E7" w:rsidRPr="00E17981" w:rsidRDefault="00C264E7" w:rsidP="00C264E7">
      <w:pPr>
        <w:pStyle w:val="ac"/>
        <w:spacing w:line="360" w:lineRule="auto"/>
        <w:jc w:val="both"/>
        <w:rPr>
          <w:rFonts w:ascii="David" w:hAnsi="David"/>
          <w:sz w:val="26"/>
          <w:szCs w:val="26"/>
          <w:rtl/>
        </w:rPr>
      </w:pPr>
    </w:p>
    <w:p w14:paraId="6A9C094A" w14:textId="77777777" w:rsidR="00C264E7" w:rsidRPr="00E17981" w:rsidRDefault="00C264E7" w:rsidP="00C264E7">
      <w:pPr>
        <w:pStyle w:val="ac"/>
        <w:spacing w:line="360" w:lineRule="auto"/>
        <w:jc w:val="both"/>
        <w:rPr>
          <w:rFonts w:ascii="David" w:hAnsi="David"/>
          <w:sz w:val="26"/>
          <w:szCs w:val="26"/>
        </w:rPr>
      </w:pPr>
      <w:r w:rsidRPr="00E17981">
        <w:rPr>
          <w:rFonts w:ascii="David" w:hAnsi="David"/>
          <w:sz w:val="26"/>
          <w:szCs w:val="26"/>
          <w:rtl/>
        </w:rPr>
        <w:lastRenderedPageBreak/>
        <w:t xml:space="preserve">באשר לטענת הנתבע שקיר האבן המקורי פגע בדירת התובעת בשל ליקויי הרטיבות הקיימים בו, טענה שהוכחשה על ידי התובעת, הרי שבהיעדר חוות דעת או תשתית ראייתית אחרת, לא קיים כל בסיס לטענה זו, ועל כן היא נדחית. אין די בתמונות ובסרטונים שצירף הנתבע לעניין ליקויי הרטיבות בקיר האבן כדי להביא למסקנה </w:t>
      </w:r>
      <w:proofErr w:type="spellStart"/>
      <w:r w:rsidRPr="00E17981">
        <w:rPr>
          <w:rFonts w:ascii="David" w:hAnsi="David"/>
          <w:sz w:val="26"/>
          <w:szCs w:val="26"/>
          <w:rtl/>
        </w:rPr>
        <w:t>שהיתה</w:t>
      </w:r>
      <w:proofErr w:type="spellEnd"/>
      <w:r w:rsidRPr="00E17981">
        <w:rPr>
          <w:rFonts w:ascii="David" w:hAnsi="David"/>
          <w:sz w:val="26"/>
          <w:szCs w:val="26"/>
          <w:rtl/>
        </w:rPr>
        <w:t xml:space="preserve"> פגיעה בדירת התובעת כתוצאה מרטיבות זו (שאינה בדירתה אלא בקיר הנמצא במרחק של כמה מטרים ממנה).</w:t>
      </w:r>
    </w:p>
    <w:p w14:paraId="7F1D3FFC" w14:textId="77777777" w:rsidR="00C264E7" w:rsidRPr="00E17981" w:rsidRDefault="00C264E7" w:rsidP="00C264E7">
      <w:pPr>
        <w:pStyle w:val="ac"/>
        <w:spacing w:line="360" w:lineRule="auto"/>
        <w:jc w:val="both"/>
        <w:rPr>
          <w:rFonts w:ascii="David" w:hAnsi="David"/>
          <w:sz w:val="26"/>
          <w:szCs w:val="26"/>
          <w:rtl/>
        </w:rPr>
      </w:pPr>
    </w:p>
    <w:p w14:paraId="202C9A2A" w14:textId="77777777" w:rsidR="00C264E7" w:rsidRPr="00E17981" w:rsidRDefault="00C264E7" w:rsidP="00C264E7">
      <w:pPr>
        <w:pStyle w:val="ac"/>
        <w:spacing w:line="360" w:lineRule="auto"/>
        <w:jc w:val="both"/>
        <w:rPr>
          <w:rFonts w:ascii="David" w:hAnsi="David"/>
          <w:sz w:val="26"/>
          <w:szCs w:val="26"/>
          <w:rtl/>
        </w:rPr>
      </w:pPr>
      <w:r w:rsidRPr="00E17981">
        <w:rPr>
          <w:rFonts w:ascii="David" w:hAnsi="David"/>
          <w:sz w:val="26"/>
          <w:szCs w:val="26"/>
          <w:rtl/>
        </w:rPr>
        <w:t>להלן תמונה שצולמה בביקור של קיר האבן, הסמוך לדירות השכנים, התמונה צולמה מחצר דירת הנתבע, כאשר רואים בה מצד ימין את קיר הגבס המחפה את קיר האבן עד גבול החצר של השכנים, ומצד שמאל את קיר האבן המקורי, שהוא המשכו של קיר האבן שמאחורי קיר הגבס:</w:t>
      </w:r>
    </w:p>
    <w:p w14:paraId="6A22FB39" w14:textId="77777777" w:rsidR="00C264E7" w:rsidRPr="00E17981" w:rsidRDefault="00C264E7" w:rsidP="00C264E7">
      <w:pPr>
        <w:pStyle w:val="ac"/>
        <w:spacing w:line="360" w:lineRule="auto"/>
        <w:jc w:val="both"/>
        <w:rPr>
          <w:rFonts w:ascii="David" w:hAnsi="David"/>
          <w:sz w:val="26"/>
          <w:szCs w:val="26"/>
          <w:rtl/>
        </w:rPr>
      </w:pPr>
    </w:p>
    <w:p w14:paraId="5B0C9BDD" w14:textId="77777777" w:rsidR="00C264E7" w:rsidRPr="00E17981" w:rsidRDefault="00C264E7" w:rsidP="00C264E7">
      <w:pPr>
        <w:pStyle w:val="ac"/>
        <w:spacing w:line="360" w:lineRule="auto"/>
        <w:jc w:val="both"/>
        <w:rPr>
          <w:rFonts w:ascii="David" w:hAnsi="David"/>
          <w:sz w:val="26"/>
          <w:szCs w:val="26"/>
          <w:rtl/>
        </w:rPr>
      </w:pPr>
      <w:r w:rsidRPr="00E17981">
        <w:rPr>
          <w:rFonts w:ascii="David" w:eastAsia="Times New Roman" w:hAnsi="David"/>
          <w:noProof/>
          <w:sz w:val="26"/>
          <w:szCs w:val="26"/>
        </w:rPr>
        <w:drawing>
          <wp:inline distT="0" distB="0" distL="0" distR="0" wp14:anchorId="1E3DAACC" wp14:editId="73F7A56F">
            <wp:extent cx="2395538" cy="3194050"/>
            <wp:effectExtent l="0" t="0" r="5080" b="6350"/>
            <wp:docPr id="4" name="תמונה 4" descr="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4" descr="תמונה"/>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398882" cy="3198509"/>
                    </a:xfrm>
                    <a:prstGeom prst="rect">
                      <a:avLst/>
                    </a:prstGeom>
                    <a:noFill/>
                    <a:ln>
                      <a:noFill/>
                    </a:ln>
                  </pic:spPr>
                </pic:pic>
              </a:graphicData>
            </a:graphic>
          </wp:inline>
        </w:drawing>
      </w:r>
    </w:p>
    <w:p w14:paraId="0DC4452E" w14:textId="77777777" w:rsidR="00C264E7" w:rsidRPr="00E17981" w:rsidRDefault="00C264E7" w:rsidP="00C264E7">
      <w:pPr>
        <w:pStyle w:val="ac"/>
        <w:spacing w:line="360" w:lineRule="auto"/>
        <w:jc w:val="both"/>
        <w:rPr>
          <w:rFonts w:ascii="David" w:hAnsi="David"/>
          <w:sz w:val="26"/>
          <w:szCs w:val="26"/>
          <w:rtl/>
        </w:rPr>
      </w:pPr>
    </w:p>
    <w:p w14:paraId="3D9EABA9"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שוכנעתי, לאור ההתרשמות במהלך הביקור במקום, שקיר הגבס אכן פוגע בדירת התובעת, שכן הוא גורם למראה מטריד, חסר </w:t>
      </w:r>
      <w:proofErr w:type="spellStart"/>
      <w:r w:rsidRPr="00E17981">
        <w:rPr>
          <w:rFonts w:ascii="David" w:hAnsi="David"/>
          <w:sz w:val="26"/>
          <w:szCs w:val="26"/>
          <w:rtl/>
        </w:rPr>
        <w:t>אוריאנטציה</w:t>
      </w:r>
      <w:proofErr w:type="spellEnd"/>
      <w:r w:rsidRPr="00E17981">
        <w:rPr>
          <w:rFonts w:ascii="David" w:hAnsi="David"/>
          <w:sz w:val="26"/>
          <w:szCs w:val="26"/>
          <w:rtl/>
        </w:rPr>
        <w:t xml:space="preserve">, כאשר נמצאים ב-2 חדרי השינה בדירתה, עד כדי תחושת אי נוחות מרובה להימצא בחדרים אלו כאשר החלון פתוח. לעומת זאת, קיר האבן המקורי, אף אם היה רטוב במקומות מסוימים, </w:t>
      </w:r>
      <w:r w:rsidRPr="00E17981">
        <w:rPr>
          <w:rFonts w:ascii="David" w:hAnsi="David"/>
          <w:sz w:val="26"/>
          <w:szCs w:val="26"/>
          <w:rtl/>
        </w:rPr>
        <w:lastRenderedPageBreak/>
        <w:t xml:space="preserve">אף אם בתקופת גשמים יו בו פרצי מים, ואף אם היו קיימים בו כתמים שחורים של עובש, נראה קיר טבעי שאינו יוצר חוויה מטרידה מסוג זה. </w:t>
      </w:r>
    </w:p>
    <w:p w14:paraId="0B2C43D8" w14:textId="77777777" w:rsidR="00C264E7" w:rsidRPr="00E17981" w:rsidRDefault="00C264E7" w:rsidP="00C264E7">
      <w:pPr>
        <w:pStyle w:val="ac"/>
        <w:spacing w:line="360" w:lineRule="auto"/>
        <w:jc w:val="both"/>
        <w:rPr>
          <w:rFonts w:ascii="David" w:hAnsi="David"/>
          <w:sz w:val="26"/>
          <w:szCs w:val="26"/>
        </w:rPr>
      </w:pPr>
    </w:p>
    <w:p w14:paraId="3C3379F4"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טענות הנתבע שחיפוי הגבס שיפר את מצבו של הקיר, בשל בעיות הרטיבות שהיו בו, ושזהו הפתרון הרלוונטי לליקויים שהיו בקיר, לא הוכחו. עניין כאמור של רטיבות הוא עניין שבמומחיות והנתבע לא הגיש כל חוות דעת מומחה בעניין. </w:t>
      </w:r>
    </w:p>
    <w:p w14:paraId="1DDA603B" w14:textId="77777777" w:rsidR="00C264E7" w:rsidRPr="00E17981" w:rsidRDefault="00C264E7" w:rsidP="00C264E7">
      <w:pPr>
        <w:pStyle w:val="ac"/>
        <w:spacing w:line="360" w:lineRule="auto"/>
        <w:rPr>
          <w:rFonts w:ascii="David" w:hAnsi="David"/>
          <w:sz w:val="26"/>
          <w:szCs w:val="26"/>
          <w:rtl/>
        </w:rPr>
      </w:pPr>
    </w:p>
    <w:p w14:paraId="5DAA8210" w14:textId="77777777" w:rsidR="00C264E7" w:rsidRPr="00E17981" w:rsidRDefault="00C264E7" w:rsidP="003C2B2D">
      <w:pPr>
        <w:spacing w:line="360" w:lineRule="auto"/>
        <w:jc w:val="both"/>
        <w:outlineLvl w:val="1"/>
        <w:rPr>
          <w:rFonts w:ascii="David" w:hAnsi="David"/>
          <w:sz w:val="26"/>
          <w:szCs w:val="26"/>
          <w:u w:val="single"/>
          <w:rtl/>
        </w:rPr>
      </w:pPr>
      <w:r w:rsidRPr="00E17981">
        <w:rPr>
          <w:rFonts w:ascii="David" w:hAnsi="David"/>
          <w:sz w:val="26"/>
          <w:szCs w:val="26"/>
          <w:u w:val="single"/>
          <w:rtl/>
        </w:rPr>
        <w:t>לא מדובר בשימוש סביר ברכוש המשותף</w:t>
      </w:r>
    </w:p>
    <w:p w14:paraId="714C765A"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אף כי די באמור לעיל כדי להביא למסקנה שעל הנתבע לבטל את הפגיעה שגרם לדירת התובעת, אתייחס לטענת הנתבע כי בניית קיר הגבס היא שימוש סביר ברכוש המשותף. </w:t>
      </w:r>
    </w:p>
    <w:p w14:paraId="1D655308" w14:textId="77777777" w:rsidR="00C264E7" w:rsidRPr="00E17981" w:rsidRDefault="00C264E7" w:rsidP="00C264E7">
      <w:pPr>
        <w:pStyle w:val="ac"/>
        <w:spacing w:line="360" w:lineRule="auto"/>
        <w:jc w:val="both"/>
        <w:rPr>
          <w:rFonts w:ascii="David" w:hAnsi="David"/>
          <w:sz w:val="26"/>
          <w:szCs w:val="26"/>
        </w:rPr>
      </w:pPr>
    </w:p>
    <w:p w14:paraId="532F28F4" w14:textId="77777777" w:rsidR="00C264E7" w:rsidRPr="00E17981" w:rsidRDefault="00C264E7" w:rsidP="00C264E7">
      <w:pPr>
        <w:pStyle w:val="ac"/>
        <w:numPr>
          <w:ilvl w:val="0"/>
          <w:numId w:val="15"/>
        </w:numPr>
        <w:spacing w:line="360" w:lineRule="auto"/>
        <w:jc w:val="both"/>
        <w:rPr>
          <w:rFonts w:ascii="David" w:hAnsi="David"/>
          <w:sz w:val="26"/>
          <w:szCs w:val="26"/>
          <w:rtl/>
        </w:rPr>
      </w:pPr>
      <w:r w:rsidRPr="00E17981">
        <w:rPr>
          <w:rFonts w:ascii="David" w:hAnsi="David"/>
          <w:sz w:val="26"/>
          <w:szCs w:val="26"/>
          <w:rtl/>
        </w:rPr>
        <w:t xml:space="preserve">"פגיעה ברכוש המשותף" כפי שהיא מוגדרת בסעיף 2(א) לתקנון המצוי, שהובא לעיל, פורשה בפסיקה באופן רחב. </w:t>
      </w:r>
    </w:p>
    <w:p w14:paraId="53430AAE" w14:textId="77777777" w:rsidR="00C264E7" w:rsidRPr="00E17981" w:rsidRDefault="00C264E7" w:rsidP="00C264E7">
      <w:pPr>
        <w:pStyle w:val="ac"/>
        <w:spacing w:line="360" w:lineRule="auto"/>
        <w:jc w:val="both"/>
        <w:rPr>
          <w:rFonts w:ascii="David" w:hAnsi="David"/>
          <w:sz w:val="26"/>
          <w:szCs w:val="26"/>
          <w:rtl/>
        </w:rPr>
      </w:pPr>
    </w:p>
    <w:p w14:paraId="4DFDA095" w14:textId="77777777" w:rsidR="00C264E7" w:rsidRPr="00E17981" w:rsidRDefault="00C264E7" w:rsidP="00C264E7">
      <w:pPr>
        <w:pStyle w:val="ac"/>
        <w:widowControl w:val="0"/>
        <w:tabs>
          <w:tab w:val="left" w:pos="624"/>
          <w:tab w:val="left" w:pos="1021"/>
          <w:tab w:val="left" w:pos="1474"/>
          <w:tab w:val="left" w:pos="1928"/>
          <w:tab w:val="left" w:pos="2381"/>
          <w:tab w:val="left" w:pos="2835"/>
          <w:tab w:val="right" w:leader="dot" w:pos="6259"/>
        </w:tabs>
        <w:suppressAutoHyphens/>
        <w:autoSpaceDE w:val="0"/>
        <w:autoSpaceDN w:val="0"/>
        <w:spacing w:line="360" w:lineRule="auto"/>
        <w:jc w:val="both"/>
        <w:rPr>
          <w:rFonts w:ascii="David" w:hAnsi="David"/>
          <w:sz w:val="26"/>
          <w:szCs w:val="26"/>
        </w:rPr>
      </w:pPr>
      <w:r w:rsidRPr="00E17981">
        <w:rPr>
          <w:rFonts w:ascii="David" w:hAnsi="David"/>
          <w:sz w:val="26"/>
          <w:szCs w:val="26"/>
          <w:rtl/>
        </w:rPr>
        <w:t xml:space="preserve">בע"א 515/65, </w:t>
      </w:r>
      <w:proofErr w:type="spellStart"/>
      <w:r w:rsidRPr="00E17981">
        <w:rPr>
          <w:rFonts w:ascii="David" w:hAnsi="David"/>
          <w:b/>
          <w:bCs/>
          <w:sz w:val="26"/>
          <w:szCs w:val="26"/>
          <w:rtl/>
        </w:rPr>
        <w:t>רבובסקי</w:t>
      </w:r>
      <w:proofErr w:type="spellEnd"/>
      <w:r w:rsidRPr="00E17981">
        <w:rPr>
          <w:rFonts w:ascii="David" w:hAnsi="David"/>
          <w:b/>
          <w:bCs/>
          <w:sz w:val="26"/>
          <w:szCs w:val="26"/>
          <w:rtl/>
        </w:rPr>
        <w:t xml:space="preserve"> נ' </w:t>
      </w:r>
      <w:proofErr w:type="spellStart"/>
      <w:r w:rsidRPr="00E17981">
        <w:rPr>
          <w:rFonts w:ascii="David" w:hAnsi="David"/>
          <w:b/>
          <w:bCs/>
          <w:sz w:val="26"/>
          <w:szCs w:val="26"/>
          <w:rtl/>
        </w:rPr>
        <w:t>גלקסברג</w:t>
      </w:r>
      <w:proofErr w:type="spellEnd"/>
      <w:r w:rsidRPr="00E17981">
        <w:rPr>
          <w:rFonts w:ascii="David" w:hAnsi="David"/>
          <w:b/>
          <w:bCs/>
          <w:sz w:val="26"/>
          <w:szCs w:val="26"/>
          <w:rtl/>
        </w:rPr>
        <w:t>,</w:t>
      </w:r>
      <w:r w:rsidRPr="00E17981">
        <w:rPr>
          <w:rFonts w:ascii="David" w:hAnsi="David"/>
          <w:sz w:val="26"/>
          <w:szCs w:val="26"/>
          <w:rtl/>
        </w:rPr>
        <w:t xml:space="preserve"> פ"ד כ(2) 295, נאמר:</w:t>
      </w:r>
    </w:p>
    <w:p w14:paraId="16065923" w14:textId="77777777" w:rsidR="00C264E7" w:rsidRPr="00E17981" w:rsidRDefault="00C264E7" w:rsidP="00C264E7">
      <w:pPr>
        <w:pStyle w:val="ac"/>
        <w:spacing w:line="360" w:lineRule="auto"/>
        <w:rPr>
          <w:rFonts w:ascii="David" w:hAnsi="David"/>
          <w:sz w:val="26"/>
          <w:szCs w:val="26"/>
          <w:rtl/>
        </w:rPr>
      </w:pPr>
    </w:p>
    <w:p w14:paraId="0C964180" w14:textId="77777777" w:rsidR="00C264E7" w:rsidRPr="00E17981" w:rsidRDefault="00C264E7" w:rsidP="00C264E7">
      <w:pPr>
        <w:pStyle w:val="ac"/>
        <w:widowControl w:val="0"/>
        <w:tabs>
          <w:tab w:val="left" w:pos="624"/>
          <w:tab w:val="left" w:pos="1021"/>
          <w:tab w:val="left" w:pos="1474"/>
          <w:tab w:val="left" w:pos="1928"/>
          <w:tab w:val="left" w:pos="2381"/>
          <w:tab w:val="left" w:pos="2835"/>
          <w:tab w:val="right" w:leader="dot" w:pos="6259"/>
        </w:tabs>
        <w:suppressAutoHyphens/>
        <w:autoSpaceDE w:val="0"/>
        <w:autoSpaceDN w:val="0"/>
        <w:spacing w:line="360" w:lineRule="auto"/>
        <w:ind w:right="1134"/>
        <w:jc w:val="both"/>
        <w:rPr>
          <w:rFonts w:ascii="David" w:hAnsi="David"/>
          <w:sz w:val="26"/>
          <w:szCs w:val="26"/>
          <w:rtl/>
        </w:rPr>
      </w:pPr>
      <w:r w:rsidRPr="00E17981">
        <w:rPr>
          <w:rFonts w:ascii="David" w:hAnsi="David"/>
          <w:sz w:val="26"/>
          <w:szCs w:val="26"/>
          <w:rtl/>
        </w:rPr>
        <w:t>" כל מה שמזיק לרכוש המשותף או לדירות האחרות בבית, לרבות מה שעשוי לשנות את אופי הבית, או לקלקל את דמותו הארכיטקטונית, או לשבש את שלמותו הסימטרית והאסתטית- כל אחד מאלה וכיוצא בו מהווה "פגיעה" כנ"ל, שלא לדבר על נזק ישיר לרכוש המשותף או לדירות האחרות המסכן או העשוי לסכן את קיומם והמביא או עשוי להביא לירידת ערכם..."</w:t>
      </w:r>
    </w:p>
    <w:p w14:paraId="7B5B7E4C" w14:textId="77777777" w:rsidR="00C264E7" w:rsidRPr="00E17981" w:rsidRDefault="00C264E7" w:rsidP="00C264E7">
      <w:pPr>
        <w:pStyle w:val="ac"/>
        <w:widowControl w:val="0"/>
        <w:tabs>
          <w:tab w:val="left" w:pos="624"/>
          <w:tab w:val="left" w:pos="1021"/>
          <w:tab w:val="left" w:pos="1474"/>
          <w:tab w:val="left" w:pos="1928"/>
          <w:tab w:val="left" w:pos="2381"/>
          <w:tab w:val="left" w:pos="2835"/>
          <w:tab w:val="right" w:leader="dot" w:pos="6259"/>
        </w:tabs>
        <w:suppressAutoHyphens/>
        <w:autoSpaceDE w:val="0"/>
        <w:autoSpaceDN w:val="0"/>
        <w:spacing w:line="360" w:lineRule="auto"/>
        <w:ind w:right="1134"/>
        <w:jc w:val="both"/>
        <w:rPr>
          <w:rFonts w:ascii="David" w:hAnsi="David"/>
          <w:sz w:val="26"/>
          <w:szCs w:val="26"/>
          <w:rtl/>
        </w:rPr>
      </w:pPr>
    </w:p>
    <w:p w14:paraId="00092FA9" w14:textId="77777777" w:rsidR="00C264E7" w:rsidRPr="00E17981" w:rsidRDefault="00C264E7" w:rsidP="00C264E7">
      <w:pPr>
        <w:pStyle w:val="ac"/>
        <w:spacing w:before="120" w:line="360" w:lineRule="auto"/>
        <w:contextualSpacing w:val="0"/>
        <w:jc w:val="both"/>
        <w:rPr>
          <w:rFonts w:ascii="David" w:hAnsi="David"/>
          <w:sz w:val="26"/>
          <w:szCs w:val="26"/>
          <w:rtl/>
        </w:rPr>
      </w:pPr>
      <w:r w:rsidRPr="00E17981">
        <w:rPr>
          <w:rFonts w:ascii="David" w:hAnsi="David"/>
          <w:sz w:val="26"/>
          <w:szCs w:val="26"/>
          <w:rtl/>
        </w:rPr>
        <w:t xml:space="preserve">בע"א 395/74, </w:t>
      </w:r>
      <w:r w:rsidRPr="00E17981">
        <w:rPr>
          <w:rFonts w:ascii="David" w:hAnsi="David"/>
          <w:b/>
          <w:bCs/>
          <w:sz w:val="26"/>
          <w:szCs w:val="26"/>
          <w:rtl/>
        </w:rPr>
        <w:t>יצחק לוי ואח' נ' רבקה סמואל ואח'</w:t>
      </w:r>
      <w:r w:rsidRPr="00E17981">
        <w:rPr>
          <w:rFonts w:ascii="David" w:hAnsi="David"/>
          <w:sz w:val="26"/>
          <w:szCs w:val="26"/>
          <w:rtl/>
        </w:rPr>
        <w:t xml:space="preserve">, פ"ד </w:t>
      </w:r>
      <w:proofErr w:type="spellStart"/>
      <w:r w:rsidRPr="00E17981">
        <w:rPr>
          <w:rFonts w:ascii="David" w:hAnsi="David"/>
          <w:sz w:val="26"/>
          <w:szCs w:val="26"/>
          <w:rtl/>
        </w:rPr>
        <w:t>כט</w:t>
      </w:r>
      <w:proofErr w:type="spellEnd"/>
      <w:r w:rsidRPr="00E17981">
        <w:rPr>
          <w:rFonts w:ascii="David" w:hAnsi="David"/>
          <w:sz w:val="26"/>
          <w:szCs w:val="26"/>
          <w:rtl/>
        </w:rPr>
        <w:t xml:space="preserve"> (2) 39, נאמר:</w:t>
      </w:r>
    </w:p>
    <w:p w14:paraId="7B761838" w14:textId="77777777" w:rsidR="00C264E7" w:rsidRPr="00E17981" w:rsidRDefault="00C264E7" w:rsidP="00C264E7">
      <w:pPr>
        <w:pStyle w:val="ac"/>
        <w:spacing w:before="120" w:line="360" w:lineRule="auto"/>
        <w:contextualSpacing w:val="0"/>
        <w:jc w:val="both"/>
        <w:rPr>
          <w:rFonts w:ascii="David" w:hAnsi="David"/>
          <w:sz w:val="26"/>
          <w:szCs w:val="26"/>
          <w:rtl/>
        </w:rPr>
      </w:pPr>
    </w:p>
    <w:p w14:paraId="7C8C1487" w14:textId="77777777" w:rsidR="00C264E7" w:rsidRPr="00E17981" w:rsidRDefault="00C264E7" w:rsidP="00C264E7">
      <w:pPr>
        <w:pStyle w:val="ac"/>
        <w:widowControl w:val="0"/>
        <w:tabs>
          <w:tab w:val="left" w:pos="1021"/>
          <w:tab w:val="left" w:pos="1416"/>
          <w:tab w:val="left" w:pos="1474"/>
          <w:tab w:val="left" w:pos="1928"/>
          <w:tab w:val="left" w:pos="2381"/>
          <w:tab w:val="left" w:pos="2835"/>
          <w:tab w:val="right" w:leader="dot" w:pos="6259"/>
        </w:tabs>
        <w:suppressAutoHyphens/>
        <w:autoSpaceDE w:val="0"/>
        <w:autoSpaceDN w:val="0"/>
        <w:spacing w:line="360" w:lineRule="auto"/>
        <w:ind w:right="1134"/>
        <w:jc w:val="both"/>
        <w:rPr>
          <w:rFonts w:ascii="David" w:hAnsi="David"/>
          <w:sz w:val="26"/>
          <w:szCs w:val="26"/>
          <w:rtl/>
        </w:rPr>
      </w:pPr>
      <w:r w:rsidRPr="00E17981">
        <w:rPr>
          <w:rFonts w:ascii="David" w:eastAsia="MS Mincho" w:hAnsi="David"/>
          <w:sz w:val="26"/>
          <w:szCs w:val="26"/>
          <w:rtl/>
        </w:rPr>
        <w:t>"... המחוקק נקט בסעיף 2 בלשון כללית ורחבה ביותר. הוא דיבר בלשון פגיעה סתם, כלומר פגיעה מכל סוג שהוא. מכאן, ששאף לתפוס ברשתו גם מעשים שאין בהם פגיעה פיזית דווקא..."</w:t>
      </w:r>
    </w:p>
    <w:p w14:paraId="24FC7428" w14:textId="77777777" w:rsidR="00C264E7" w:rsidRPr="00E17981" w:rsidRDefault="00C264E7" w:rsidP="00C264E7">
      <w:pPr>
        <w:pStyle w:val="ac"/>
        <w:widowControl w:val="0"/>
        <w:tabs>
          <w:tab w:val="left" w:pos="1021"/>
          <w:tab w:val="left" w:pos="1416"/>
          <w:tab w:val="left" w:pos="1474"/>
          <w:tab w:val="left" w:pos="1928"/>
          <w:tab w:val="left" w:pos="2381"/>
          <w:tab w:val="left" w:pos="2835"/>
          <w:tab w:val="right" w:leader="dot" w:pos="6259"/>
        </w:tabs>
        <w:suppressAutoHyphens/>
        <w:autoSpaceDE w:val="0"/>
        <w:autoSpaceDN w:val="0"/>
        <w:spacing w:line="360" w:lineRule="auto"/>
        <w:ind w:right="1134"/>
        <w:jc w:val="both"/>
        <w:rPr>
          <w:rFonts w:ascii="David" w:hAnsi="David"/>
          <w:sz w:val="26"/>
          <w:szCs w:val="26"/>
          <w:rtl/>
        </w:rPr>
      </w:pPr>
    </w:p>
    <w:p w14:paraId="0400F8C7"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lastRenderedPageBreak/>
        <w:t xml:space="preserve">אכן, לבעל דירה זכות לעשות שימוש סביר ורגיל ברכוש המשותף, הכרוך לעיתים גם בשינויים מסוימים ברכוש המשותף, כגון לצורך התקנת מזגנים [ר' לדוגמה </w:t>
      </w:r>
      <w:r w:rsidRPr="00E17981">
        <w:rPr>
          <w:rFonts w:ascii="David" w:hAnsi="David"/>
          <w:color w:val="000000" w:themeColor="text1"/>
          <w:sz w:val="26"/>
          <w:szCs w:val="26"/>
          <w:rtl/>
        </w:rPr>
        <w:t xml:space="preserve">ע"א (מחוזי תל אביב) 991/97 </w:t>
      </w:r>
      <w:r w:rsidRPr="00E17981">
        <w:rPr>
          <w:rFonts w:ascii="David" w:hAnsi="David"/>
          <w:b/>
          <w:bCs/>
          <w:color w:val="000000" w:themeColor="text1"/>
          <w:sz w:val="26"/>
          <w:szCs w:val="26"/>
          <w:rtl/>
        </w:rPr>
        <w:t>נציגות הבית המשותף נ' לילי אבן</w:t>
      </w:r>
      <w:r w:rsidRPr="00E17981">
        <w:rPr>
          <w:rFonts w:ascii="David" w:hAnsi="David"/>
          <w:color w:val="000000" w:themeColor="text1"/>
          <w:sz w:val="26"/>
          <w:szCs w:val="26"/>
          <w:rtl/>
        </w:rPr>
        <w:t xml:space="preserve"> (נבו 20.1.1998); </w:t>
      </w:r>
      <w:proofErr w:type="spellStart"/>
      <w:r w:rsidRPr="00E17981">
        <w:rPr>
          <w:rFonts w:ascii="David" w:hAnsi="David"/>
          <w:sz w:val="26"/>
          <w:szCs w:val="26"/>
          <w:rtl/>
        </w:rPr>
        <w:t>עש"א</w:t>
      </w:r>
      <w:proofErr w:type="spellEnd"/>
      <w:r w:rsidRPr="00E17981">
        <w:rPr>
          <w:rFonts w:ascii="David" w:hAnsi="David"/>
          <w:sz w:val="26"/>
          <w:szCs w:val="26"/>
          <w:rtl/>
        </w:rPr>
        <w:t xml:space="preserve"> 32739-10-12 </w:t>
      </w:r>
      <w:r w:rsidRPr="00E17981">
        <w:rPr>
          <w:rFonts w:ascii="David" w:hAnsi="David"/>
          <w:b/>
          <w:bCs/>
          <w:sz w:val="26"/>
          <w:szCs w:val="26"/>
          <w:rtl/>
        </w:rPr>
        <w:t>(</w:t>
      </w:r>
      <w:r w:rsidRPr="00E17981">
        <w:rPr>
          <w:rFonts w:ascii="David" w:hAnsi="David"/>
          <w:sz w:val="26"/>
          <w:szCs w:val="26"/>
          <w:rtl/>
        </w:rPr>
        <w:t>מחוזי תל אביב)</w:t>
      </w:r>
      <w:r w:rsidRPr="00E17981">
        <w:rPr>
          <w:rFonts w:ascii="David" w:hAnsi="David"/>
          <w:b/>
          <w:bCs/>
          <w:sz w:val="26"/>
          <w:szCs w:val="26"/>
          <w:rtl/>
        </w:rPr>
        <w:t xml:space="preserve"> ערד ואח' נ' מאפו 11 תל-אביב ואח'</w:t>
      </w:r>
      <w:r w:rsidRPr="00E17981">
        <w:rPr>
          <w:rFonts w:ascii="David" w:hAnsi="David"/>
          <w:sz w:val="26"/>
          <w:szCs w:val="26"/>
          <w:rtl/>
        </w:rPr>
        <w:t xml:space="preserve"> (נבו 30.4.13)].</w:t>
      </w:r>
    </w:p>
    <w:p w14:paraId="3454A064" w14:textId="77777777" w:rsidR="00C264E7" w:rsidRPr="00E17981" w:rsidRDefault="00C264E7" w:rsidP="00C264E7">
      <w:pPr>
        <w:pStyle w:val="ac"/>
        <w:spacing w:line="360" w:lineRule="auto"/>
        <w:jc w:val="both"/>
        <w:rPr>
          <w:rFonts w:ascii="David" w:hAnsi="David"/>
          <w:sz w:val="26"/>
          <w:szCs w:val="26"/>
          <w:rtl/>
        </w:rPr>
      </w:pPr>
    </w:p>
    <w:p w14:paraId="2D99FBB7" w14:textId="77777777" w:rsidR="00C264E7" w:rsidRPr="00E17981" w:rsidRDefault="00C264E7" w:rsidP="00C264E7">
      <w:pPr>
        <w:pStyle w:val="ac"/>
        <w:spacing w:line="360" w:lineRule="auto"/>
        <w:jc w:val="both"/>
        <w:rPr>
          <w:rFonts w:ascii="David" w:hAnsi="David"/>
          <w:sz w:val="26"/>
          <w:szCs w:val="26"/>
          <w:rtl/>
        </w:rPr>
      </w:pPr>
      <w:r w:rsidRPr="00E17981">
        <w:rPr>
          <w:rFonts w:ascii="David" w:hAnsi="David"/>
          <w:sz w:val="26"/>
          <w:szCs w:val="26"/>
          <w:rtl/>
        </w:rPr>
        <w:t xml:space="preserve">בפסיקה הנוגעת באופן כללי לשימוש ברכוש המשותף, נקבע כי שימוש יהא סביר ורגיל ככל שהוא תואם את תנאי המקום והזמן ואת הייעוד של אותו חלק ברכוש המשותף, וככל שהשימוש אינו מונע שימוש דומה מדיירים אחרים [ר' לדוגמה ע"א 549/73 </w:t>
      </w:r>
      <w:r w:rsidRPr="00E17981">
        <w:rPr>
          <w:rFonts w:ascii="David" w:hAnsi="David"/>
          <w:b/>
          <w:bCs/>
          <w:sz w:val="26"/>
          <w:szCs w:val="26"/>
          <w:rtl/>
        </w:rPr>
        <w:t>וינטרס נ' זמורה</w:t>
      </w:r>
      <w:r w:rsidRPr="00E17981">
        <w:rPr>
          <w:rFonts w:ascii="David" w:hAnsi="David"/>
          <w:sz w:val="26"/>
          <w:szCs w:val="26"/>
          <w:rtl/>
        </w:rPr>
        <w:t xml:space="preserve">, פ"ד </w:t>
      </w:r>
      <w:proofErr w:type="spellStart"/>
      <w:r w:rsidRPr="00E17981">
        <w:rPr>
          <w:rFonts w:ascii="David" w:hAnsi="David"/>
          <w:sz w:val="26"/>
          <w:szCs w:val="26"/>
          <w:rtl/>
        </w:rPr>
        <w:t>כח</w:t>
      </w:r>
      <w:proofErr w:type="spellEnd"/>
      <w:r w:rsidRPr="00E17981">
        <w:rPr>
          <w:rFonts w:ascii="David" w:hAnsi="David"/>
          <w:sz w:val="26"/>
          <w:szCs w:val="26"/>
          <w:rtl/>
        </w:rPr>
        <w:t xml:space="preserve">(1) 645, 648-647 (1974), כן ר' ניתוח מפורט בנושא זה בפסק הדין בתיק (מפקח על רישום מקרקעין תל אביב) 639/21 </w:t>
      </w:r>
      <w:r w:rsidRPr="00E17981">
        <w:rPr>
          <w:rFonts w:ascii="David" w:hAnsi="David"/>
          <w:b/>
          <w:bCs/>
          <w:sz w:val="26"/>
          <w:szCs w:val="26"/>
          <w:rtl/>
        </w:rPr>
        <w:t xml:space="preserve">קיי נ' </w:t>
      </w:r>
      <w:proofErr w:type="spellStart"/>
      <w:r w:rsidRPr="00E17981">
        <w:rPr>
          <w:rFonts w:ascii="David" w:hAnsi="David"/>
          <w:b/>
          <w:bCs/>
          <w:sz w:val="26"/>
          <w:szCs w:val="26"/>
          <w:rtl/>
        </w:rPr>
        <w:t>בסיק</w:t>
      </w:r>
      <w:proofErr w:type="spellEnd"/>
      <w:r w:rsidRPr="00E17981">
        <w:rPr>
          <w:rFonts w:ascii="David" w:hAnsi="David"/>
          <w:sz w:val="26"/>
          <w:szCs w:val="26"/>
          <w:rtl/>
        </w:rPr>
        <w:t xml:space="preserve"> (נבו 31.8.2023)].</w:t>
      </w:r>
    </w:p>
    <w:p w14:paraId="075A57BA" w14:textId="77777777" w:rsidR="00C264E7" w:rsidRPr="00E17981" w:rsidRDefault="00C264E7" w:rsidP="00C264E7">
      <w:pPr>
        <w:pStyle w:val="ac"/>
        <w:spacing w:line="360" w:lineRule="auto"/>
        <w:jc w:val="both"/>
        <w:rPr>
          <w:rFonts w:ascii="David" w:hAnsi="David"/>
          <w:sz w:val="26"/>
          <w:szCs w:val="26"/>
        </w:rPr>
      </w:pPr>
    </w:p>
    <w:p w14:paraId="2FE42F8C"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עם זאת, נקבע בפסיקה כי פעולות של </w:t>
      </w:r>
      <w:r w:rsidRPr="00E17981">
        <w:rPr>
          <w:rFonts w:ascii="David" w:hAnsi="David"/>
          <w:sz w:val="26"/>
          <w:szCs w:val="26"/>
          <w:u w:val="single"/>
          <w:rtl/>
        </w:rPr>
        <w:t>בניה</w:t>
      </w:r>
      <w:r w:rsidRPr="00E17981">
        <w:rPr>
          <w:rFonts w:ascii="David" w:hAnsi="David"/>
          <w:sz w:val="26"/>
          <w:szCs w:val="26"/>
          <w:rtl/>
        </w:rPr>
        <w:t xml:space="preserve"> ברכוש המשותף, אינן יכולות להיחשב כשימוש סביר ברכוש המשותף [ר' ע"א 810/82 </w:t>
      </w:r>
      <w:r w:rsidRPr="00E17981">
        <w:rPr>
          <w:rFonts w:ascii="David" w:hAnsi="David"/>
          <w:b/>
          <w:bCs/>
          <w:sz w:val="26"/>
          <w:szCs w:val="26"/>
          <w:rtl/>
        </w:rPr>
        <w:t xml:space="preserve">זול בו בע"מ נ' </w:t>
      </w:r>
      <w:proofErr w:type="spellStart"/>
      <w:r w:rsidRPr="00E17981">
        <w:rPr>
          <w:rFonts w:ascii="David" w:hAnsi="David"/>
          <w:b/>
          <w:bCs/>
          <w:sz w:val="26"/>
          <w:szCs w:val="26"/>
          <w:rtl/>
        </w:rPr>
        <w:t>זיידה</w:t>
      </w:r>
      <w:proofErr w:type="spellEnd"/>
      <w:r w:rsidRPr="00E17981">
        <w:rPr>
          <w:rFonts w:ascii="David" w:hAnsi="David"/>
          <w:b/>
          <w:bCs/>
          <w:sz w:val="26"/>
          <w:szCs w:val="26"/>
          <w:rtl/>
        </w:rPr>
        <w:t xml:space="preserve">, </w:t>
      </w:r>
      <w:r w:rsidRPr="00E17981">
        <w:rPr>
          <w:rFonts w:ascii="David" w:hAnsi="David"/>
          <w:sz w:val="26"/>
          <w:szCs w:val="26"/>
          <w:rtl/>
        </w:rPr>
        <w:t xml:space="preserve">פ"ד </w:t>
      </w:r>
      <w:proofErr w:type="spellStart"/>
      <w:r w:rsidRPr="00E17981">
        <w:rPr>
          <w:rFonts w:ascii="David" w:hAnsi="David"/>
          <w:sz w:val="26"/>
          <w:szCs w:val="26"/>
          <w:rtl/>
        </w:rPr>
        <w:t>לז</w:t>
      </w:r>
      <w:proofErr w:type="spellEnd"/>
      <w:r w:rsidRPr="00E17981">
        <w:rPr>
          <w:rFonts w:ascii="David" w:hAnsi="David"/>
          <w:sz w:val="26"/>
          <w:szCs w:val="26"/>
          <w:rtl/>
        </w:rPr>
        <w:t xml:space="preserve">(4) 737, 741, ופסק הדין שניתן על ידי בתיק (המפקח על רישום מקרקעין ירושלים) 151/22 </w:t>
      </w:r>
      <w:r w:rsidRPr="00E17981">
        <w:rPr>
          <w:rFonts w:ascii="David" w:hAnsi="David"/>
          <w:b/>
          <w:bCs/>
          <w:sz w:val="26"/>
          <w:szCs w:val="26"/>
          <w:rtl/>
        </w:rPr>
        <w:t>נידם נ' כהן</w:t>
      </w:r>
      <w:r w:rsidRPr="00E17981">
        <w:rPr>
          <w:rFonts w:ascii="David" w:hAnsi="David"/>
          <w:sz w:val="26"/>
          <w:szCs w:val="26"/>
          <w:rtl/>
        </w:rPr>
        <w:t xml:space="preserve"> (נבו 18.4.2024)].</w:t>
      </w:r>
    </w:p>
    <w:p w14:paraId="6000D171" w14:textId="77777777" w:rsidR="00C264E7" w:rsidRPr="00E17981" w:rsidRDefault="00C264E7" w:rsidP="00C264E7">
      <w:pPr>
        <w:spacing w:line="360" w:lineRule="auto"/>
        <w:jc w:val="both"/>
        <w:rPr>
          <w:rFonts w:ascii="David" w:hAnsi="David"/>
          <w:sz w:val="26"/>
          <w:szCs w:val="26"/>
          <w:rtl/>
        </w:rPr>
      </w:pPr>
    </w:p>
    <w:p w14:paraId="1A6FD61D"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 xml:space="preserve">קיר הגבס האמור, מלבד היותו פעולה של בניה משמעותית, המשתרעת על שטח גדול מאד של קיר האבן המקורי, אינו תואם את תנאי הזמן והמקום ואת היעוד של החלק האמור ברכוש המשותף. על פי תנאי הזמן והמקום, אמור להיות במקום קיר אבן, כפי שנבנה במקור, וקיר הגבס משנה את מראהו באופן מהותי. כמו כן, בהיעדר חוות דעת מומחה, לא ניתן לקבוע כי חיפוי גבס מסוג זה הוא הטיפול המתאים לפתרון בעיות רטיבות בקיר האבן, ונראה, אף לפי ההיגיון, שהפתרון לבעיות הרטיבות הוא תיקון קיר האבן, ולא הסתרתו מאחורי קיר אחר. </w:t>
      </w:r>
    </w:p>
    <w:p w14:paraId="4F75C5E4" w14:textId="77777777" w:rsidR="00C264E7" w:rsidRPr="00E17981" w:rsidRDefault="00C264E7" w:rsidP="00C264E7">
      <w:pPr>
        <w:pStyle w:val="ac"/>
        <w:spacing w:line="360" w:lineRule="auto"/>
        <w:rPr>
          <w:rFonts w:ascii="David" w:hAnsi="David"/>
          <w:sz w:val="26"/>
          <w:szCs w:val="26"/>
          <w:rtl/>
        </w:rPr>
      </w:pPr>
    </w:p>
    <w:p w14:paraId="74358DDF" w14:textId="77777777" w:rsidR="00C264E7" w:rsidRPr="00E17981" w:rsidRDefault="00C264E7" w:rsidP="003C2B2D">
      <w:pPr>
        <w:spacing w:line="360" w:lineRule="auto"/>
        <w:jc w:val="both"/>
        <w:outlineLvl w:val="1"/>
        <w:rPr>
          <w:rFonts w:ascii="David" w:hAnsi="David"/>
          <w:b/>
          <w:bCs/>
          <w:sz w:val="26"/>
          <w:szCs w:val="26"/>
          <w:u w:val="single"/>
          <w:rtl/>
        </w:rPr>
      </w:pPr>
      <w:r w:rsidRPr="00E17981">
        <w:rPr>
          <w:rFonts w:ascii="David" w:hAnsi="David"/>
          <w:b/>
          <w:bCs/>
          <w:sz w:val="26"/>
          <w:szCs w:val="26"/>
          <w:u w:val="single"/>
          <w:rtl/>
        </w:rPr>
        <w:t>טענות נוספות</w:t>
      </w:r>
    </w:p>
    <w:p w14:paraId="4590A03E" w14:textId="77777777" w:rsidR="00C264E7" w:rsidRPr="00E17981" w:rsidRDefault="00C264E7" w:rsidP="00C264E7">
      <w:pPr>
        <w:pStyle w:val="ac"/>
        <w:numPr>
          <w:ilvl w:val="0"/>
          <w:numId w:val="15"/>
        </w:numPr>
        <w:spacing w:line="360" w:lineRule="auto"/>
        <w:jc w:val="both"/>
        <w:rPr>
          <w:rFonts w:ascii="David" w:hAnsi="David"/>
          <w:sz w:val="26"/>
          <w:szCs w:val="26"/>
        </w:rPr>
      </w:pPr>
      <w:r w:rsidRPr="00E17981">
        <w:rPr>
          <w:rFonts w:ascii="David" w:hAnsi="David"/>
          <w:sz w:val="26"/>
          <w:szCs w:val="26"/>
          <w:rtl/>
        </w:rPr>
        <w:t>לאור האמור, איני מוצאת מקום לדון בטענה לעניין הסגת גבול, שכן די באמור לעיל כדי להביא למסקנה שהתביעה מתקבלת.</w:t>
      </w:r>
    </w:p>
    <w:p w14:paraId="58604AA8" w14:textId="77777777" w:rsidR="00C264E7" w:rsidRPr="00E17981" w:rsidRDefault="00C264E7" w:rsidP="00C264E7">
      <w:pPr>
        <w:pStyle w:val="ac"/>
        <w:spacing w:after="100" w:afterAutospacing="1" w:line="360" w:lineRule="auto"/>
        <w:ind w:left="757"/>
        <w:jc w:val="both"/>
        <w:rPr>
          <w:rFonts w:ascii="David" w:hAnsi="David"/>
          <w:sz w:val="26"/>
          <w:szCs w:val="26"/>
          <w:rtl/>
        </w:rPr>
      </w:pPr>
    </w:p>
    <w:p w14:paraId="011CEA99" w14:textId="7744BC3B" w:rsidR="00C264E7" w:rsidRPr="00E17981" w:rsidRDefault="00C264E7" w:rsidP="00C264E7">
      <w:pPr>
        <w:pStyle w:val="ac"/>
        <w:numPr>
          <w:ilvl w:val="0"/>
          <w:numId w:val="15"/>
        </w:numPr>
        <w:spacing w:after="100" w:afterAutospacing="1" w:line="360" w:lineRule="auto"/>
        <w:jc w:val="both"/>
        <w:rPr>
          <w:rFonts w:ascii="David" w:hAnsi="David"/>
          <w:sz w:val="26"/>
          <w:szCs w:val="26"/>
        </w:rPr>
      </w:pPr>
      <w:r w:rsidRPr="00E17981">
        <w:rPr>
          <w:rFonts w:ascii="David" w:hAnsi="David"/>
          <w:sz w:val="26"/>
          <w:szCs w:val="26"/>
          <w:rtl/>
        </w:rPr>
        <w:t xml:space="preserve">באשר לטענת הנתבע שהריסת קיר הגבס אינה עומדת במבחני פסק הדין </w:t>
      </w:r>
      <w:r w:rsidRPr="00E17981">
        <w:rPr>
          <w:rFonts w:ascii="David" w:hAnsi="David"/>
          <w:b/>
          <w:bCs/>
          <w:sz w:val="26"/>
          <w:szCs w:val="26"/>
          <w:rtl/>
        </w:rPr>
        <w:t>בעניין רוקר</w:t>
      </w:r>
      <w:r w:rsidRPr="00E17981">
        <w:rPr>
          <w:rFonts w:ascii="David" w:hAnsi="David"/>
          <w:sz w:val="26"/>
          <w:szCs w:val="26"/>
          <w:rtl/>
        </w:rPr>
        <w:t xml:space="preserve"> [</w:t>
      </w:r>
      <w:hyperlink r:id="rId15" w:tooltip="רע&quot;א 6339/97" w:history="1">
        <w:r w:rsidR="003C2B2D">
          <w:rPr>
            <w:rFonts w:ascii="David" w:hAnsi="David"/>
            <w:sz w:val="26"/>
            <w:szCs w:val="26"/>
            <w:rtl/>
          </w:rPr>
          <w:t>רע"א 6339/97</w:t>
        </w:r>
      </w:hyperlink>
      <w:r w:rsidRPr="00E17981">
        <w:rPr>
          <w:rFonts w:ascii="David" w:hAnsi="David"/>
          <w:sz w:val="26"/>
          <w:szCs w:val="26"/>
          <w:rtl/>
        </w:rPr>
        <w:t xml:space="preserve"> </w:t>
      </w:r>
      <w:r w:rsidRPr="00E17981">
        <w:rPr>
          <w:rFonts w:ascii="David" w:hAnsi="David"/>
          <w:b/>
          <w:bCs/>
          <w:sz w:val="26"/>
          <w:szCs w:val="26"/>
          <w:rtl/>
        </w:rPr>
        <w:t>משה רוקר נ' משה סלומון</w:t>
      </w:r>
      <w:r w:rsidRPr="00E17981">
        <w:rPr>
          <w:rFonts w:ascii="David" w:hAnsi="David"/>
          <w:sz w:val="26"/>
          <w:szCs w:val="26"/>
          <w:rtl/>
        </w:rPr>
        <w:t xml:space="preserve">, </w:t>
      </w:r>
      <w:proofErr w:type="spellStart"/>
      <w:r w:rsidRPr="00E17981">
        <w:rPr>
          <w:rFonts w:ascii="David" w:hAnsi="David"/>
          <w:sz w:val="26"/>
          <w:szCs w:val="26"/>
          <w:rtl/>
        </w:rPr>
        <w:t>נה</w:t>
      </w:r>
      <w:proofErr w:type="spellEnd"/>
      <w:r w:rsidRPr="00E17981">
        <w:rPr>
          <w:rFonts w:ascii="David" w:hAnsi="David"/>
          <w:sz w:val="26"/>
          <w:szCs w:val="26"/>
          <w:rtl/>
        </w:rPr>
        <w:t>(1) 199</w:t>
      </w:r>
      <w:r w:rsidRPr="00E17981">
        <w:rPr>
          <w:rFonts w:ascii="David" w:hAnsi="David"/>
          <w:sz w:val="26"/>
          <w:szCs w:val="26"/>
        </w:rPr>
        <w:t xml:space="preserve"> [(1999) </w:t>
      </w:r>
      <w:r w:rsidRPr="00E17981">
        <w:rPr>
          <w:rFonts w:ascii="David" w:hAnsi="David"/>
          <w:sz w:val="26"/>
          <w:szCs w:val="26"/>
          <w:rtl/>
        </w:rPr>
        <w:t xml:space="preserve">, הרי שדי </w:t>
      </w:r>
      <w:r w:rsidRPr="00E17981">
        <w:rPr>
          <w:rFonts w:ascii="David" w:hAnsi="David"/>
          <w:sz w:val="26"/>
          <w:szCs w:val="26"/>
          <w:rtl/>
        </w:rPr>
        <w:lastRenderedPageBreak/>
        <w:t xml:space="preserve">בפגיעה שפעולות הנתבע גרמו לדירת התובעת כדי להביא לקבלת התביעה לאור סעיף 2(ב) לתקנון המצוי, אך בנסיבות העניין עולה שפירוק קיר הגבס אף עומד במבחנים שנקבעו בעניין רוקר. </w:t>
      </w:r>
    </w:p>
    <w:p w14:paraId="4D60A1B5" w14:textId="77777777" w:rsidR="00C264E7" w:rsidRPr="00E17981" w:rsidRDefault="00C264E7" w:rsidP="00C264E7">
      <w:pPr>
        <w:pStyle w:val="ac"/>
        <w:spacing w:line="360" w:lineRule="auto"/>
        <w:rPr>
          <w:rFonts w:ascii="David" w:hAnsi="David"/>
          <w:sz w:val="26"/>
          <w:szCs w:val="26"/>
          <w:rtl/>
        </w:rPr>
      </w:pPr>
    </w:p>
    <w:p w14:paraId="0F288A74" w14:textId="77777777" w:rsidR="00C264E7" w:rsidRPr="00E17981" w:rsidRDefault="00C264E7" w:rsidP="00C264E7">
      <w:pPr>
        <w:pStyle w:val="ac"/>
        <w:spacing w:after="100" w:afterAutospacing="1" w:line="360" w:lineRule="auto"/>
        <w:jc w:val="both"/>
        <w:rPr>
          <w:rFonts w:ascii="David" w:hAnsi="David"/>
          <w:sz w:val="26"/>
          <w:szCs w:val="26"/>
          <w:rtl/>
        </w:rPr>
      </w:pPr>
      <w:r w:rsidRPr="00E17981">
        <w:rPr>
          <w:rFonts w:ascii="David" w:hAnsi="David"/>
          <w:sz w:val="26"/>
          <w:szCs w:val="26"/>
          <w:rtl/>
        </w:rPr>
        <w:t xml:space="preserve">ראשית, מדובר בפגיעה משמעותית בזכות הקניין של התובעת וביכולתה להנות מדירתה. שנית, ככל שקיר הגבס יוותר כפי שהוא, מדובר יהיה בפגיעה ממושכת בדירת התובעת, שלישית, הנתבע פעל על דעת עצמו שעה ששילם עבור ביצוע הקיר האמור, מבלי שקיבל קודם לכן הסכמה ממאן דהו, ועל כן אין לו להלין אלא על עצמו באשר לעלויות ששילם בגין בניית הקיר, מה גם שלאור אופי הפגיעה בדירת התובעת, נראה שהסך של 93,600 ₪ ששילם הנתבע לצורך בניית הקיר נמוך מהפגיעה שנגרמה לדירת התובעת, שהיא פגיעה ממושכת ביכולת להנות מהדירה וכנגזרת מכך סביר שככל שהקיר האמור יישאר, תיגרם פגיעה גם בערך דירת התובעת. </w:t>
      </w:r>
    </w:p>
    <w:p w14:paraId="21544016" w14:textId="77777777" w:rsidR="00C264E7" w:rsidRPr="00E17981" w:rsidRDefault="00C264E7" w:rsidP="00C264E7">
      <w:pPr>
        <w:pStyle w:val="ac"/>
        <w:spacing w:after="100" w:afterAutospacing="1" w:line="360" w:lineRule="auto"/>
        <w:jc w:val="both"/>
        <w:rPr>
          <w:rFonts w:ascii="David" w:hAnsi="David"/>
          <w:sz w:val="26"/>
          <w:szCs w:val="26"/>
          <w:rtl/>
        </w:rPr>
      </w:pPr>
    </w:p>
    <w:p w14:paraId="382B4B75" w14:textId="77777777" w:rsidR="00C264E7" w:rsidRPr="00E17981" w:rsidRDefault="00C264E7" w:rsidP="00C264E7">
      <w:pPr>
        <w:pStyle w:val="ac"/>
        <w:spacing w:after="100" w:afterAutospacing="1" w:line="360" w:lineRule="auto"/>
        <w:jc w:val="both"/>
        <w:rPr>
          <w:rFonts w:ascii="David" w:hAnsi="David"/>
          <w:sz w:val="26"/>
          <w:szCs w:val="26"/>
        </w:rPr>
      </w:pPr>
      <w:r w:rsidRPr="00E17981">
        <w:rPr>
          <w:rFonts w:ascii="David" w:hAnsi="David"/>
          <w:sz w:val="26"/>
          <w:szCs w:val="26"/>
          <w:rtl/>
        </w:rPr>
        <w:t xml:space="preserve">באשר לטענה כי התובעת לא פעלה כדין משום שהשתהתה שנה וחצי לפני הגשת התביעה ועל כן "יש להוקיע את התנהלותה" כטענתו בסיכומיו (לטענת התובעת התביעה הוגשה כשנה לאחר בניית הקיר), הרי שמדובר בטענה תמוהה. הנתבע הוא שפעל על דעת עצמו ובנה את הקיר, כאשר לאחר מכן ביקשה התובעת לשכנעו להסיר את החלק הנמצא מול חלונות דירתה, והוא סירב לכך. לא עולה כי נגרם נזק כלשהו לנתבע בשל העובדה שהתביעה לא הוגשה בשלב מוקדם יותר, שכן הנתבע העמיד את התובעת בפני מצב קיים, והוציא הוצאות על בניית הקיר מבלי שקיבל קודם לכן הסכמה לכך. בנסיבות אלו עולה כי דווקא הנתבע הוא שפעל באופן פוגעני וחסר התחשבות כלפי התובעת, כאשר התובעת מצדה ניסתה להימנע מהליך משפטי, ונקטה בו בלית ברירה אך בשל סירוב הנתבע לפרק את קיר הגבס הנשקף מחלונות דירתה. </w:t>
      </w:r>
    </w:p>
    <w:p w14:paraId="6FFA9B92" w14:textId="77777777" w:rsidR="00C264E7" w:rsidRPr="00E17981" w:rsidRDefault="00C264E7" w:rsidP="00C264E7">
      <w:pPr>
        <w:pStyle w:val="ac"/>
        <w:spacing w:line="360" w:lineRule="auto"/>
        <w:rPr>
          <w:rFonts w:ascii="David" w:hAnsi="David"/>
          <w:sz w:val="26"/>
          <w:szCs w:val="26"/>
          <w:rtl/>
        </w:rPr>
      </w:pPr>
    </w:p>
    <w:p w14:paraId="7C2F2898" w14:textId="77777777" w:rsidR="00C264E7" w:rsidRPr="00E17981" w:rsidRDefault="00C264E7" w:rsidP="00C264E7">
      <w:pPr>
        <w:pStyle w:val="ac"/>
        <w:numPr>
          <w:ilvl w:val="0"/>
          <w:numId w:val="15"/>
        </w:numPr>
        <w:spacing w:after="100" w:afterAutospacing="1" w:line="360" w:lineRule="auto"/>
        <w:jc w:val="both"/>
        <w:rPr>
          <w:rFonts w:ascii="David" w:hAnsi="David"/>
          <w:sz w:val="26"/>
          <w:szCs w:val="26"/>
        </w:rPr>
      </w:pPr>
      <w:r w:rsidRPr="00E17981">
        <w:rPr>
          <w:rFonts w:ascii="David" w:hAnsi="David"/>
          <w:sz w:val="26"/>
          <w:szCs w:val="26"/>
          <w:rtl/>
        </w:rPr>
        <w:t xml:space="preserve">באשר לטענות הנתבע בדבר חוסר בטיחות של הקיר המקורי, הרי שמדובר בהרחבת חזית אסורה, ומכל מקום, הדבר לא הוכח. אוסיף כי בהיעדר חוות דעת מומחה כאמור לעיל, גם לא הוכחו טענות הנתבע בדבר המפגע התברואתי שהסב הקיר לדירת הנתבע טרם חיפויו בקיר הגבס. </w:t>
      </w:r>
    </w:p>
    <w:p w14:paraId="38355976" w14:textId="77777777" w:rsidR="00C264E7" w:rsidRPr="00E17981" w:rsidRDefault="00C264E7" w:rsidP="003C2B2D">
      <w:pPr>
        <w:spacing w:after="100" w:afterAutospacing="1" w:line="360" w:lineRule="auto"/>
        <w:ind w:left="360"/>
        <w:jc w:val="both"/>
        <w:outlineLvl w:val="0"/>
        <w:rPr>
          <w:rFonts w:ascii="David" w:hAnsi="David"/>
          <w:b/>
          <w:bCs/>
          <w:sz w:val="26"/>
          <w:szCs w:val="26"/>
          <w:u w:val="single"/>
          <w:rtl/>
        </w:rPr>
      </w:pPr>
      <w:r w:rsidRPr="00E17981">
        <w:rPr>
          <w:rFonts w:ascii="David" w:hAnsi="David"/>
          <w:b/>
          <w:bCs/>
          <w:sz w:val="26"/>
          <w:szCs w:val="26"/>
          <w:u w:val="single"/>
          <w:rtl/>
        </w:rPr>
        <w:t>סיום</w:t>
      </w:r>
    </w:p>
    <w:p w14:paraId="71B5E2A6" w14:textId="77777777" w:rsidR="00C264E7" w:rsidRPr="00E17981" w:rsidRDefault="00C264E7" w:rsidP="00C264E7">
      <w:pPr>
        <w:pStyle w:val="ac"/>
        <w:numPr>
          <w:ilvl w:val="0"/>
          <w:numId w:val="15"/>
        </w:numPr>
        <w:spacing w:after="100" w:afterAutospacing="1" w:line="360" w:lineRule="auto"/>
        <w:jc w:val="both"/>
        <w:rPr>
          <w:rFonts w:ascii="David" w:hAnsi="David"/>
          <w:sz w:val="26"/>
          <w:szCs w:val="26"/>
        </w:rPr>
      </w:pPr>
      <w:r w:rsidRPr="00E17981">
        <w:rPr>
          <w:rFonts w:ascii="David" w:hAnsi="David"/>
          <w:sz w:val="26"/>
          <w:szCs w:val="26"/>
          <w:rtl/>
        </w:rPr>
        <w:lastRenderedPageBreak/>
        <w:t xml:space="preserve">הסעד שביקשה התובעת בכתב התביעה הוא "להסיר מיד את הקיר שבנה שלא כדין מול חלונות דירתה של התובעת ולהשיב את המצב לקדמותו, כפי שהיה ערב גמר הבניה". בדיון </w:t>
      </w:r>
      <w:proofErr w:type="spellStart"/>
      <w:r w:rsidRPr="00E17981">
        <w:rPr>
          <w:rFonts w:ascii="David" w:hAnsi="David"/>
          <w:sz w:val="26"/>
          <w:szCs w:val="26"/>
          <w:rtl/>
        </w:rPr>
        <w:t>הקד"מ</w:t>
      </w:r>
      <w:proofErr w:type="spellEnd"/>
      <w:r w:rsidRPr="00E17981">
        <w:rPr>
          <w:rFonts w:ascii="David" w:hAnsi="David"/>
          <w:sz w:val="26"/>
          <w:szCs w:val="26"/>
          <w:rtl/>
        </w:rPr>
        <w:t xml:space="preserve"> שהתקיים ביום 9.6.2024 הבהיר ב"כ התובעת כי הכוונה היא להוריד את החיפוי עד מתחת לחלונות דירת התובעת (עמוד 2 שורות 25-27). לאור האמור, אני קובעת כי על הנתבע לפרק את קיר הגבס כך שכל שיבקש להותיר חלק ממנו, גובה קיר הגבס לא יעבור את גובה רצפת דירת התובעת.</w:t>
      </w:r>
    </w:p>
    <w:p w14:paraId="69C4F1E3" w14:textId="77777777" w:rsidR="00C264E7" w:rsidRPr="00E17981" w:rsidRDefault="00C264E7" w:rsidP="00C264E7">
      <w:pPr>
        <w:pStyle w:val="ac"/>
        <w:spacing w:after="100" w:afterAutospacing="1" w:line="360" w:lineRule="auto"/>
        <w:jc w:val="both"/>
        <w:rPr>
          <w:rFonts w:ascii="David" w:hAnsi="David"/>
          <w:sz w:val="26"/>
          <w:szCs w:val="26"/>
          <w:rtl/>
        </w:rPr>
      </w:pPr>
    </w:p>
    <w:p w14:paraId="43808DC5" w14:textId="77777777" w:rsidR="00C264E7" w:rsidRPr="00E17981" w:rsidRDefault="00C264E7" w:rsidP="00C264E7">
      <w:pPr>
        <w:pStyle w:val="ac"/>
        <w:spacing w:after="100" w:afterAutospacing="1" w:line="360" w:lineRule="auto"/>
        <w:jc w:val="both"/>
        <w:rPr>
          <w:rFonts w:ascii="David" w:hAnsi="David"/>
          <w:sz w:val="26"/>
          <w:szCs w:val="26"/>
        </w:rPr>
      </w:pPr>
      <w:r w:rsidRPr="00E17981">
        <w:rPr>
          <w:rFonts w:ascii="David" w:hAnsi="David"/>
          <w:sz w:val="26"/>
          <w:szCs w:val="26"/>
          <w:rtl/>
        </w:rPr>
        <w:t xml:space="preserve">בנוסף, על הנתבע להשיב את קיר האבן שייחשף כתוצאה מפירוק החלק האמור מקיר הגבס, למצבו המקורי. יוער בהקשר זה כי למסמכי התובעת צורפו תמונות שצולמו במהלך העבודות לבניית הקיר מהן עולה חשש כי נעשו קדיחות בקיר האבן לצורך בניית קיר הגבס. </w:t>
      </w:r>
    </w:p>
    <w:p w14:paraId="35CBA585" w14:textId="77777777" w:rsidR="00C264E7" w:rsidRPr="00E17981" w:rsidRDefault="00C264E7" w:rsidP="00C264E7">
      <w:pPr>
        <w:pStyle w:val="ac"/>
        <w:spacing w:after="100" w:afterAutospacing="1" w:line="360" w:lineRule="auto"/>
        <w:jc w:val="both"/>
        <w:rPr>
          <w:rFonts w:ascii="David" w:hAnsi="David"/>
          <w:sz w:val="26"/>
          <w:szCs w:val="26"/>
        </w:rPr>
      </w:pPr>
    </w:p>
    <w:p w14:paraId="6099A8D2" w14:textId="77777777" w:rsidR="00C264E7" w:rsidRDefault="00C264E7" w:rsidP="00C264E7">
      <w:pPr>
        <w:pStyle w:val="ac"/>
        <w:numPr>
          <w:ilvl w:val="0"/>
          <w:numId w:val="15"/>
        </w:numPr>
        <w:spacing w:after="100" w:afterAutospacing="1" w:line="360" w:lineRule="auto"/>
        <w:jc w:val="both"/>
        <w:rPr>
          <w:rFonts w:ascii="David" w:hAnsi="David"/>
          <w:sz w:val="26"/>
          <w:szCs w:val="26"/>
        </w:rPr>
      </w:pPr>
      <w:r w:rsidRPr="00E17981">
        <w:rPr>
          <w:rFonts w:ascii="David" w:hAnsi="David"/>
          <w:sz w:val="26"/>
          <w:szCs w:val="26"/>
          <w:rtl/>
        </w:rPr>
        <w:t xml:space="preserve">באשר להוצאות ההליך, בהתחשב בכך שההסדר הדיוני ייעל את ההליך כך שלא היה צורך בהגשת תצהירים ובישיבת הוכחות, אני קובעת שעל הנתבע לשלם לתובעת הוצאותיה בסך של 7,000 ₪. </w:t>
      </w:r>
    </w:p>
    <w:p w14:paraId="01EE6166" w14:textId="092D114D" w:rsidR="00C264E7" w:rsidRDefault="00C264E7" w:rsidP="00C264E7">
      <w:pPr>
        <w:spacing w:line="360" w:lineRule="auto"/>
        <w:rPr>
          <w:rFonts w:ascii="David" w:hAnsi="David"/>
          <w:sz w:val="24"/>
          <w:rtl/>
        </w:rPr>
      </w:pPr>
      <w:r>
        <w:rPr>
          <w:rFonts w:ascii="David" w:hAnsi="David" w:hint="cs"/>
          <w:sz w:val="24"/>
          <w:rtl/>
        </w:rPr>
        <w:t xml:space="preserve">ניתן היום, </w:t>
      </w:r>
      <w:r>
        <w:rPr>
          <w:rFonts w:ascii="David" w:hAnsi="David"/>
          <w:sz w:val="24"/>
          <w:rtl/>
        </w:rPr>
        <w:fldChar w:fldCharType="begin"/>
      </w:r>
      <w:r>
        <w:rPr>
          <w:rFonts w:ascii="David" w:hAnsi="David"/>
          <w:sz w:val="24"/>
          <w:rtl/>
        </w:rPr>
        <w:instrText xml:space="preserve"> </w:instrText>
      </w:r>
      <w:r>
        <w:rPr>
          <w:rFonts w:ascii="David" w:hAnsi="David" w:hint="cs"/>
          <w:sz w:val="24"/>
        </w:rPr>
        <w:instrText>DATE</w:instrText>
      </w:r>
      <w:r>
        <w:rPr>
          <w:rFonts w:ascii="David" w:hAnsi="David" w:hint="cs"/>
          <w:sz w:val="24"/>
          <w:rtl/>
        </w:rPr>
        <w:instrText xml:space="preserve"> \@ "</w:instrText>
      </w:r>
      <w:r>
        <w:rPr>
          <w:rFonts w:ascii="David" w:hAnsi="David" w:hint="cs"/>
          <w:sz w:val="24"/>
        </w:rPr>
        <w:instrText>dd MMMM yyyy" \h</w:instrText>
      </w:r>
      <w:r>
        <w:rPr>
          <w:rFonts w:ascii="David" w:hAnsi="David"/>
          <w:sz w:val="24"/>
          <w:rtl/>
        </w:rPr>
        <w:instrText xml:space="preserve"> </w:instrText>
      </w:r>
      <w:r>
        <w:rPr>
          <w:rFonts w:ascii="David" w:hAnsi="David"/>
          <w:sz w:val="24"/>
          <w:rtl/>
        </w:rPr>
        <w:fldChar w:fldCharType="separate"/>
      </w:r>
      <w:r w:rsidR="003C2B2D">
        <w:rPr>
          <w:rFonts w:ascii="David" w:hAnsi="David"/>
          <w:noProof/>
          <w:sz w:val="24"/>
          <w:rtl/>
        </w:rPr>
        <w:t>‏י"ג אייר תשפ"ה</w:t>
      </w:r>
      <w:r>
        <w:rPr>
          <w:rFonts w:ascii="David" w:hAnsi="David"/>
          <w:sz w:val="24"/>
          <w:rtl/>
        </w:rPr>
        <w:fldChar w:fldCharType="end"/>
      </w:r>
      <w:r>
        <w:rPr>
          <w:rFonts w:ascii="David" w:hAnsi="David" w:hint="cs"/>
          <w:sz w:val="24"/>
          <w:rtl/>
        </w:rPr>
        <w:t xml:space="preserve">, </w:t>
      </w:r>
      <w:r>
        <w:rPr>
          <w:rFonts w:ascii="David" w:hAnsi="David"/>
          <w:sz w:val="24"/>
          <w:rtl/>
        </w:rPr>
        <w:fldChar w:fldCharType="begin"/>
      </w:r>
      <w:r>
        <w:rPr>
          <w:rFonts w:ascii="David" w:hAnsi="David"/>
          <w:sz w:val="24"/>
          <w:rtl/>
        </w:rPr>
        <w:instrText xml:space="preserve"> </w:instrText>
      </w:r>
      <w:r>
        <w:rPr>
          <w:rFonts w:ascii="David" w:hAnsi="David" w:hint="cs"/>
          <w:sz w:val="24"/>
        </w:rPr>
        <w:instrText>DATE</w:instrText>
      </w:r>
      <w:r>
        <w:rPr>
          <w:rFonts w:ascii="David" w:hAnsi="David" w:hint="cs"/>
          <w:sz w:val="24"/>
          <w:rtl/>
        </w:rPr>
        <w:instrText xml:space="preserve"> \@ "</w:instrText>
      </w:r>
      <w:r>
        <w:rPr>
          <w:rFonts w:ascii="David" w:hAnsi="David" w:hint="cs"/>
          <w:sz w:val="24"/>
        </w:rPr>
        <w:instrText>dd MMMM yyyy</w:instrText>
      </w:r>
      <w:r>
        <w:rPr>
          <w:rFonts w:ascii="David" w:hAnsi="David" w:hint="cs"/>
          <w:sz w:val="24"/>
          <w:rtl/>
        </w:rPr>
        <w:instrText>"</w:instrText>
      </w:r>
      <w:r>
        <w:rPr>
          <w:rFonts w:ascii="David" w:hAnsi="David"/>
          <w:sz w:val="24"/>
          <w:rtl/>
        </w:rPr>
        <w:instrText xml:space="preserve"> </w:instrText>
      </w:r>
      <w:r>
        <w:rPr>
          <w:rFonts w:ascii="David" w:hAnsi="David"/>
          <w:sz w:val="24"/>
          <w:rtl/>
        </w:rPr>
        <w:fldChar w:fldCharType="separate"/>
      </w:r>
      <w:r w:rsidR="003C2B2D">
        <w:rPr>
          <w:rFonts w:ascii="David" w:hAnsi="David"/>
          <w:noProof/>
          <w:sz w:val="24"/>
          <w:rtl/>
        </w:rPr>
        <w:t>‏11 מאי 2025</w:t>
      </w:r>
      <w:r>
        <w:rPr>
          <w:rFonts w:ascii="David" w:hAnsi="David"/>
          <w:sz w:val="24"/>
          <w:rtl/>
        </w:rPr>
        <w:fldChar w:fldCharType="end"/>
      </w:r>
      <w:r>
        <w:rPr>
          <w:rFonts w:ascii="David" w:hAnsi="David" w:hint="cs"/>
          <w:sz w:val="24"/>
          <w:rtl/>
        </w:rPr>
        <w:t>, בהיעדר הצדדים</w:t>
      </w:r>
    </w:p>
    <w:p w14:paraId="311B491E" w14:textId="794C52FA" w:rsidR="00C264E7" w:rsidRDefault="00C264E7" w:rsidP="00C264E7">
      <w:pPr>
        <w:spacing w:line="360" w:lineRule="auto"/>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p>
    <w:p w14:paraId="7ED0CD2D" w14:textId="77777777" w:rsidR="00C264E7" w:rsidRDefault="00C264E7" w:rsidP="00C264E7">
      <w:pPr>
        <w:jc w:val="both"/>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אביטל שרייבר</w:t>
      </w:r>
    </w:p>
    <w:p w14:paraId="2B5C40EB" w14:textId="77777777" w:rsidR="00C264E7" w:rsidRDefault="00C264E7" w:rsidP="00C264E7">
      <w:pPr>
        <w:jc w:val="both"/>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מפקחת בכירה על רישום מקרקעין</w:t>
      </w:r>
    </w:p>
    <w:p w14:paraId="0D333DBB" w14:textId="77777777" w:rsidR="00C264E7" w:rsidRPr="00D00464" w:rsidRDefault="00C264E7" w:rsidP="00C264E7">
      <w:pPr>
        <w:jc w:val="both"/>
        <w:rPr>
          <w:rFonts w:ascii="David" w:hAnsi="David"/>
          <w:sz w:val="24"/>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 xml:space="preserve">     ירושלים</w:t>
      </w:r>
    </w:p>
    <w:p w14:paraId="01D3F7EB" w14:textId="77777777" w:rsidR="00C264E7" w:rsidRPr="00E17981" w:rsidRDefault="00C264E7" w:rsidP="00C264E7">
      <w:pPr>
        <w:spacing w:after="100" w:afterAutospacing="1" w:line="360" w:lineRule="auto"/>
        <w:jc w:val="both"/>
        <w:rPr>
          <w:rFonts w:ascii="David" w:hAnsi="David"/>
          <w:sz w:val="26"/>
          <w:szCs w:val="26"/>
          <w:rtl/>
        </w:rPr>
      </w:pPr>
    </w:p>
    <w:p w14:paraId="33AA78E4" w14:textId="77777777" w:rsidR="00BF226D" w:rsidRPr="00C264E7" w:rsidRDefault="00BF226D" w:rsidP="00C264E7">
      <w:pPr>
        <w:rPr>
          <w:szCs w:val="22"/>
          <w:rtl/>
        </w:rPr>
      </w:pPr>
    </w:p>
    <w:sectPr w:rsidR="00BF226D" w:rsidRPr="00C264E7" w:rsidSect="00B06DCB">
      <w:headerReference w:type="default" r:id="rId16"/>
      <w:footerReference w:type="default" r:id="rId17"/>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53744" w14:textId="77777777" w:rsidR="00D53DD8" w:rsidRDefault="00D53DD8" w:rsidP="00E6645A">
      <w:r>
        <w:separator/>
      </w:r>
    </w:p>
  </w:endnote>
  <w:endnote w:type="continuationSeparator" w:id="0">
    <w:p w14:paraId="756DB569" w14:textId="77777777" w:rsidR="00D53DD8" w:rsidRDefault="00D53DD8"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2EBC3728"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2874D6">
          <w:fldChar w:fldCharType="begin"/>
        </w:r>
        <w:r w:rsidR="002874D6">
          <w:instrText xml:space="preserve"> PAGE   \* MERGEFORMAT </w:instrText>
        </w:r>
        <w:r w:rsidR="002874D6">
          <w:fldChar w:fldCharType="separate"/>
        </w:r>
        <w:r w:rsidR="00C264E7">
          <w:rPr>
            <w:noProof/>
            <w:rtl/>
          </w:rPr>
          <w:t>1</w:t>
        </w:r>
        <w:r w:rsidR="002874D6">
          <w:fldChar w:fldCharType="end"/>
        </w:r>
      </w:p>
    </w:sdtContent>
  </w:sdt>
  <w:p w14:paraId="059CCA62"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92798" w14:textId="77777777" w:rsidR="00D53DD8" w:rsidRDefault="00D53DD8" w:rsidP="00E6645A">
      <w:r>
        <w:separator/>
      </w:r>
    </w:p>
  </w:footnote>
  <w:footnote w:type="continuationSeparator" w:id="0">
    <w:p w14:paraId="6BA8A877" w14:textId="77777777" w:rsidR="00D53DD8" w:rsidRDefault="00D53DD8"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51CAE"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16E6FC34" wp14:editId="366603D9">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0259F0AB"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4F727F1A"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7682DE03" w14:textId="77777777" w:rsidR="003A2D09" w:rsidRPr="00257FA6" w:rsidRDefault="001E56A2" w:rsidP="003A2D09">
    <w:pPr>
      <w:pStyle w:val="a6"/>
      <w:jc w:val="center"/>
      <w:rPr>
        <w:rFonts w:ascii="Arial" w:hAnsi="Arial"/>
        <w:b/>
        <w:bCs/>
        <w:sz w:val="20"/>
        <w:rtl/>
      </w:rPr>
    </w:pPr>
    <w:r>
      <w:rPr>
        <w:rFonts w:ascii="David" w:hAnsi="David"/>
        <w:b/>
        <w:bCs/>
        <w:noProof/>
        <w:sz w:val="24"/>
        <w:rtl/>
      </w:rPr>
      <w:t>ירושלים</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3D66E4D9" w14:textId="77777777" w:rsidTr="001035B0">
      <w:tc>
        <w:tcPr>
          <w:tcW w:w="3118" w:type="dxa"/>
        </w:tcPr>
        <w:p w14:paraId="158C1A92"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3AE401B8"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5822CFE7"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4A8EA583" w14:textId="77777777" w:rsidR="00D3650D" w:rsidRPr="00257FA6" w:rsidRDefault="00D3650D" w:rsidP="00373A1B">
          <w:pPr>
            <w:pStyle w:val="a6"/>
            <w:jc w:val="center"/>
            <w:rPr>
              <w:rFonts w:ascii="Arial" w:hAnsi="Arial"/>
              <w:b/>
              <w:bCs/>
              <w:sz w:val="20"/>
              <w:rtl/>
            </w:rPr>
          </w:pPr>
        </w:p>
      </w:tc>
      <w:tc>
        <w:tcPr>
          <w:tcW w:w="4537" w:type="dxa"/>
        </w:tcPr>
        <w:p w14:paraId="5D706F33" w14:textId="77777777" w:rsidR="00D3650D" w:rsidRPr="00257FA6" w:rsidRDefault="001E56A2" w:rsidP="001C63D8">
          <w:pPr>
            <w:pStyle w:val="a6"/>
            <w:rPr>
              <w:rFonts w:ascii="Arial" w:hAnsi="Arial"/>
              <w:b/>
              <w:bCs/>
              <w:sz w:val="20"/>
              <w:rtl/>
            </w:rPr>
          </w:pPr>
          <w:r>
            <w:rPr>
              <w:rFonts w:ascii="David" w:hAnsi="David"/>
              <w:b/>
              <w:bCs/>
              <w:noProof/>
              <w:sz w:val="24"/>
              <w:rtl/>
            </w:rPr>
            <w:t>מס' תיק: 1/290/2023</w:t>
          </w:r>
        </w:p>
      </w:tc>
    </w:tr>
  </w:tbl>
  <w:p w14:paraId="2F663332"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40FC3517"/>
    <w:multiLevelType w:val="hybridMultilevel"/>
    <w:tmpl w:val="F4CCD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11/05/2025 11:11:07"/>
    <w:docVar w:name="P2" w:val="Document Headings-11/05/2025 11:12:50"/>
    <w:docVar w:name="P3" w:val="Document Tables-11/05/2025 11:13:04"/>
    <w:docVar w:name="ParaNumber" w:val="141"/>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41176"/>
    <w:rsid w:val="00171732"/>
    <w:rsid w:val="001A73F3"/>
    <w:rsid w:val="001C7C9B"/>
    <w:rsid w:val="001D4325"/>
    <w:rsid w:val="001E56A2"/>
    <w:rsid w:val="001F5C40"/>
    <w:rsid w:val="00227E56"/>
    <w:rsid w:val="00227EDD"/>
    <w:rsid w:val="00237FAC"/>
    <w:rsid w:val="00257FA6"/>
    <w:rsid w:val="0026341F"/>
    <w:rsid w:val="0028308D"/>
    <w:rsid w:val="00285EE4"/>
    <w:rsid w:val="002874D6"/>
    <w:rsid w:val="002A668B"/>
    <w:rsid w:val="00302C45"/>
    <w:rsid w:val="00344FAA"/>
    <w:rsid w:val="0034710D"/>
    <w:rsid w:val="00353E71"/>
    <w:rsid w:val="00355305"/>
    <w:rsid w:val="00355C48"/>
    <w:rsid w:val="003571AE"/>
    <w:rsid w:val="0036024A"/>
    <w:rsid w:val="00382123"/>
    <w:rsid w:val="003A2D09"/>
    <w:rsid w:val="003A5B0C"/>
    <w:rsid w:val="003C2B2D"/>
    <w:rsid w:val="003E0904"/>
    <w:rsid w:val="003E5409"/>
    <w:rsid w:val="003F0297"/>
    <w:rsid w:val="003F03E7"/>
    <w:rsid w:val="00416D3E"/>
    <w:rsid w:val="0043108A"/>
    <w:rsid w:val="00436544"/>
    <w:rsid w:val="004507C9"/>
    <w:rsid w:val="00451EC5"/>
    <w:rsid w:val="0046217D"/>
    <w:rsid w:val="0046318A"/>
    <w:rsid w:val="004652EB"/>
    <w:rsid w:val="00472CF9"/>
    <w:rsid w:val="00492E70"/>
    <w:rsid w:val="004C4A98"/>
    <w:rsid w:val="004E326D"/>
    <w:rsid w:val="004F780E"/>
    <w:rsid w:val="00506114"/>
    <w:rsid w:val="00533418"/>
    <w:rsid w:val="00535A25"/>
    <w:rsid w:val="00545351"/>
    <w:rsid w:val="00545579"/>
    <w:rsid w:val="00555A87"/>
    <w:rsid w:val="005714F0"/>
    <w:rsid w:val="005807C0"/>
    <w:rsid w:val="005A4338"/>
    <w:rsid w:val="005B2A07"/>
    <w:rsid w:val="005B6D9F"/>
    <w:rsid w:val="005B7227"/>
    <w:rsid w:val="005E07ED"/>
    <w:rsid w:val="005E224F"/>
    <w:rsid w:val="005F04A9"/>
    <w:rsid w:val="00627AC1"/>
    <w:rsid w:val="0063709C"/>
    <w:rsid w:val="006478D8"/>
    <w:rsid w:val="00651AB5"/>
    <w:rsid w:val="00657C5B"/>
    <w:rsid w:val="0066182D"/>
    <w:rsid w:val="00677D3C"/>
    <w:rsid w:val="0068496F"/>
    <w:rsid w:val="006906EC"/>
    <w:rsid w:val="00696EE2"/>
    <w:rsid w:val="006D4388"/>
    <w:rsid w:val="006E5B31"/>
    <w:rsid w:val="006F3E4F"/>
    <w:rsid w:val="00716D3E"/>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8E2113"/>
    <w:rsid w:val="009058E3"/>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C06756"/>
    <w:rsid w:val="00C07D14"/>
    <w:rsid w:val="00C21C67"/>
    <w:rsid w:val="00C2248B"/>
    <w:rsid w:val="00C264E7"/>
    <w:rsid w:val="00C32D24"/>
    <w:rsid w:val="00C333A2"/>
    <w:rsid w:val="00C351AC"/>
    <w:rsid w:val="00C452A8"/>
    <w:rsid w:val="00C60A02"/>
    <w:rsid w:val="00C8524A"/>
    <w:rsid w:val="00C92D3D"/>
    <w:rsid w:val="00CB44D3"/>
    <w:rsid w:val="00CD0363"/>
    <w:rsid w:val="00CF458D"/>
    <w:rsid w:val="00D0443B"/>
    <w:rsid w:val="00D11EF2"/>
    <w:rsid w:val="00D151AB"/>
    <w:rsid w:val="00D3650D"/>
    <w:rsid w:val="00D40469"/>
    <w:rsid w:val="00D507E2"/>
    <w:rsid w:val="00D53DD8"/>
    <w:rsid w:val="00D54636"/>
    <w:rsid w:val="00D63F0C"/>
    <w:rsid w:val="00D80962"/>
    <w:rsid w:val="00DB2354"/>
    <w:rsid w:val="00DB6109"/>
    <w:rsid w:val="00E0435C"/>
    <w:rsid w:val="00E114C4"/>
    <w:rsid w:val="00E13BDC"/>
    <w:rsid w:val="00E2132A"/>
    <w:rsid w:val="00E33D5F"/>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CE1A30"/>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paragraph" w:styleId="NormalWeb">
    <w:name w:val="Normal (Web)"/>
    <w:basedOn w:val="a"/>
    <w:uiPriority w:val="99"/>
    <w:semiHidden/>
    <w:unhideWhenUsed/>
    <w:rsid w:val="00C264E7"/>
    <w:pPr>
      <w:bidi w:val="0"/>
      <w:spacing w:before="100" w:beforeAutospacing="1" w:after="100" w:afterAutospacing="1"/>
      <w:contextualSpacing w:val="0"/>
    </w:pPr>
    <w:rPr>
      <w:rFonts w:eastAsia="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www.nevo.co.il/case/6061092"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ef3fb242-e60f-469d-bd6f-cb29a4fe62d9@justice.gov.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2.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4.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2581</Words>
  <Characters>11720</Characters>
  <Application>Microsoft Office Word</Application>
  <DocSecurity>0</DocSecurity>
  <Lines>334</Lines>
  <Paragraphs>86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דין.docx_7</dc:title>
  <dc:creator>susyl</dc:creator>
  <cp:keywords>Produced By WeCo Office Accessibilty</cp:keywords>
  <dc:description>שלב 4 - טיפול בתמונות וקישורים</dc:description>
  <cp:lastModifiedBy>Shimrit Chuna</cp:lastModifiedBy>
  <cp:revision>2</cp:revision>
  <cp:lastPrinted>2025-05-11T08:15:00Z</cp:lastPrinted>
  <dcterms:created xsi:type="dcterms:W3CDTF">2025-05-11T08:17:00Z</dcterms:created>
  <dcterms:modified xsi:type="dcterms:W3CDTF">2025-05-11T08:17:00Z</dcterms:modified>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