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3BAF1471" w14:textId="77777777" w:rsidTr="006C40BD">
        <w:trPr>
          <w:cantSplit/>
        </w:trPr>
        <w:tc>
          <w:tcPr>
            <w:tcW w:w="3118" w:type="dxa"/>
          </w:tcPr>
          <w:p w14:paraId="58611CCA" w14:textId="77777777" w:rsidR="001035B0" w:rsidRPr="008A7D76" w:rsidRDefault="001035B0" w:rsidP="007A5335">
            <w:pPr>
              <w:pStyle w:val="a6"/>
              <w:jc w:val="center"/>
              <w:rPr>
                <w:rFonts w:ascii="David" w:hAnsi="David"/>
                <w:b/>
                <w:bCs/>
                <w:sz w:val="24"/>
                <w:rtl/>
              </w:rPr>
            </w:pPr>
          </w:p>
        </w:tc>
        <w:tc>
          <w:tcPr>
            <w:tcW w:w="3686" w:type="dxa"/>
          </w:tcPr>
          <w:p w14:paraId="209A68D2" w14:textId="77777777" w:rsidR="001035B0" w:rsidRPr="008A7D76" w:rsidRDefault="001035B0" w:rsidP="007A5335">
            <w:pPr>
              <w:pStyle w:val="a6"/>
              <w:jc w:val="center"/>
              <w:rPr>
                <w:rFonts w:ascii="David" w:hAnsi="David"/>
                <w:b/>
                <w:bCs/>
                <w:sz w:val="24"/>
                <w:rtl/>
              </w:rPr>
            </w:pPr>
          </w:p>
        </w:tc>
        <w:tc>
          <w:tcPr>
            <w:tcW w:w="4537" w:type="dxa"/>
          </w:tcPr>
          <w:p w14:paraId="09198374" w14:textId="77777777" w:rsidR="001604C5" w:rsidRDefault="001604C5" w:rsidP="00545579">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5EB4084B" w14:textId="4EB17670" w:rsidR="001035B0" w:rsidRPr="008A7D76" w:rsidRDefault="001035B0" w:rsidP="00545579">
            <w:pPr>
              <w:rPr>
                <w:rFonts w:ascii="David" w:hAnsi="David"/>
                <w:sz w:val="24"/>
                <w:rtl/>
              </w:rPr>
            </w:pPr>
            <w:r>
              <w:rPr>
                <w:rFonts w:ascii="David" w:hAnsi="David"/>
                <w:b/>
                <w:bCs/>
                <w:noProof/>
                <w:sz w:val="24"/>
                <w:rtl/>
              </w:rPr>
              <w:t>ברק ליפשיץ</w:t>
            </w:r>
          </w:p>
        </w:tc>
      </w:tr>
    </w:tbl>
    <w:p w14:paraId="685BF5FC" w14:textId="32D4A7AC" w:rsidR="00D3650D" w:rsidRPr="00107339" w:rsidRDefault="00D3650D" w:rsidP="00481A0F">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2856AB" w14:paraId="6176674B" w14:textId="77777777" w:rsidTr="0056381C">
        <w:trPr>
          <w:cantSplit/>
        </w:trPr>
        <w:tc>
          <w:tcPr>
            <w:tcW w:w="916" w:type="pct"/>
          </w:tcPr>
          <w:p w14:paraId="2AF8B0D2" w14:textId="620A8B74" w:rsidR="002856AB" w:rsidRDefault="001604C5">
            <w:pPr>
              <w:spacing w:before="100" w:beforeAutospacing="1" w:after="100" w:afterAutospacing="1" w:line="276" w:lineRule="auto"/>
              <w:rPr>
                <w:rFonts w:ascii="David" w:hAnsi="David"/>
                <w:sz w:val="24"/>
                <w:rtl/>
              </w:rPr>
            </w:pPr>
            <w:r>
              <w:rPr>
                <w:rFonts w:ascii="David" w:hAnsi="David" w:hint="cs"/>
                <w:sz w:val="24"/>
                <w:rtl/>
              </w:rPr>
              <w:t>ה</w:t>
            </w:r>
            <w:r w:rsidR="00CC2982">
              <w:rPr>
                <w:rFonts w:ascii="David" w:hAnsi="David"/>
                <w:sz w:val="24"/>
                <w:rtl/>
              </w:rPr>
              <w:t>תובע</w:t>
            </w:r>
            <w:r>
              <w:rPr>
                <w:rFonts w:ascii="David" w:hAnsi="David" w:hint="cs"/>
                <w:sz w:val="24"/>
                <w:rtl/>
              </w:rPr>
              <w:t>ת:</w:t>
            </w:r>
          </w:p>
        </w:tc>
        <w:tc>
          <w:tcPr>
            <w:tcW w:w="845" w:type="pct"/>
          </w:tcPr>
          <w:p w14:paraId="21A42DD3" w14:textId="77777777" w:rsidR="002856AB" w:rsidRDefault="002856AB">
            <w:pPr>
              <w:spacing w:before="100" w:beforeAutospacing="1" w:after="100" w:afterAutospacing="1"/>
              <w:rPr>
                <w:rFonts w:ascii="David" w:hAnsi="David"/>
                <w:sz w:val="24"/>
              </w:rPr>
            </w:pPr>
          </w:p>
        </w:tc>
        <w:tc>
          <w:tcPr>
            <w:tcW w:w="352" w:type="pct"/>
          </w:tcPr>
          <w:p w14:paraId="327EC0B5" w14:textId="4994B97B" w:rsidR="002856AB" w:rsidRDefault="002856AB">
            <w:pPr>
              <w:spacing w:before="100" w:beforeAutospacing="1" w:after="100" w:afterAutospacing="1"/>
              <w:rPr>
                <w:rFonts w:ascii="David" w:hAnsi="David"/>
                <w:sz w:val="24"/>
              </w:rPr>
            </w:pPr>
          </w:p>
        </w:tc>
        <w:tc>
          <w:tcPr>
            <w:tcW w:w="2887" w:type="pct"/>
          </w:tcPr>
          <w:p w14:paraId="43B3BD6A" w14:textId="308AE71B" w:rsidR="002856AB" w:rsidRDefault="00CC2982">
            <w:pPr>
              <w:spacing w:before="100" w:beforeAutospacing="1" w:after="100" w:afterAutospacing="1" w:line="276" w:lineRule="auto"/>
              <w:rPr>
                <w:rFonts w:ascii="David" w:hAnsi="David"/>
                <w:sz w:val="24"/>
                <w:rtl/>
              </w:rPr>
            </w:pPr>
            <w:r>
              <w:rPr>
                <w:rFonts w:ascii="David" w:hAnsi="David"/>
                <w:sz w:val="24"/>
                <w:rtl/>
              </w:rPr>
              <w:t xml:space="preserve">לב נתיבות - חברה לניהול, שיווק ויזמות בע"מ, </w:t>
            </w:r>
            <w:r w:rsidR="00FD04C2">
              <w:rPr>
                <w:rFonts w:ascii="David" w:hAnsi="David" w:hint="cs"/>
                <w:sz w:val="24"/>
                <w:rtl/>
              </w:rPr>
              <w:t>ח.פ.</w:t>
            </w:r>
            <w:r>
              <w:rPr>
                <w:rFonts w:ascii="David" w:hAnsi="David"/>
                <w:sz w:val="24"/>
                <w:rtl/>
              </w:rPr>
              <w:t xml:space="preserve">  512599721</w:t>
            </w:r>
            <w:r>
              <w:br/>
            </w:r>
          </w:p>
        </w:tc>
      </w:tr>
      <w:tr w:rsidR="002856AB" w14:paraId="6045EFF7" w14:textId="77777777" w:rsidTr="0056381C">
        <w:trPr>
          <w:cantSplit/>
        </w:trPr>
        <w:tc>
          <w:tcPr>
            <w:tcW w:w="916" w:type="pct"/>
          </w:tcPr>
          <w:p w14:paraId="166595A5" w14:textId="77777777" w:rsidR="002856AB" w:rsidRDefault="002856AB">
            <w:pPr>
              <w:spacing w:before="100" w:beforeAutospacing="1" w:after="100" w:afterAutospacing="1" w:line="276" w:lineRule="auto"/>
              <w:rPr>
                <w:rFonts w:ascii="David" w:hAnsi="David"/>
                <w:sz w:val="24"/>
                <w:rtl/>
              </w:rPr>
            </w:pPr>
          </w:p>
        </w:tc>
        <w:tc>
          <w:tcPr>
            <w:tcW w:w="845" w:type="pct"/>
          </w:tcPr>
          <w:p w14:paraId="522A95E9" w14:textId="77777777" w:rsidR="002856AB" w:rsidRDefault="002856AB">
            <w:pPr>
              <w:spacing w:before="100" w:beforeAutospacing="1" w:after="100" w:afterAutospacing="1"/>
              <w:rPr>
                <w:rFonts w:ascii="David" w:hAnsi="David"/>
                <w:sz w:val="24"/>
              </w:rPr>
            </w:pPr>
          </w:p>
        </w:tc>
        <w:tc>
          <w:tcPr>
            <w:tcW w:w="352" w:type="pct"/>
          </w:tcPr>
          <w:p w14:paraId="46C5E39C" w14:textId="77777777" w:rsidR="002856AB" w:rsidRDefault="002856AB">
            <w:pPr>
              <w:spacing w:before="100" w:beforeAutospacing="1" w:after="100" w:afterAutospacing="1"/>
              <w:rPr>
                <w:rFonts w:ascii="David" w:hAnsi="David"/>
                <w:sz w:val="24"/>
              </w:rPr>
            </w:pPr>
          </w:p>
        </w:tc>
        <w:tc>
          <w:tcPr>
            <w:tcW w:w="2887" w:type="pct"/>
          </w:tcPr>
          <w:p w14:paraId="30B9BAF4" w14:textId="77777777" w:rsidR="002856AB" w:rsidRDefault="00CC2982">
            <w:pPr>
              <w:spacing w:before="100" w:beforeAutospacing="1" w:after="100" w:afterAutospacing="1" w:line="276" w:lineRule="auto"/>
              <w:rPr>
                <w:rFonts w:ascii="David" w:hAnsi="David"/>
                <w:sz w:val="24"/>
                <w:rtl/>
              </w:rPr>
            </w:pPr>
            <w:r>
              <w:rPr>
                <w:rFonts w:ascii="David" w:hAnsi="David"/>
                <w:sz w:val="24"/>
                <w:rtl/>
              </w:rPr>
              <w:t>באמצעות ב"כ: עו"ד מלכה ירון</w:t>
            </w:r>
            <w:r>
              <w:br/>
            </w:r>
            <w:r>
              <w:rPr>
                <w:rFonts w:ascii="David" w:hAnsi="David"/>
                <w:sz w:val="24"/>
                <w:rtl/>
              </w:rPr>
              <w:t>חיל אוויר 39, נתיבות</w:t>
            </w:r>
            <w:r>
              <w:br/>
            </w:r>
            <w:r>
              <w:rPr>
                <w:rFonts w:ascii="David" w:hAnsi="David"/>
                <w:sz w:val="24"/>
                <w:rtl/>
              </w:rPr>
              <w:t xml:space="preserve">טל':0542288486 </w:t>
            </w:r>
            <w:r>
              <w:br/>
            </w:r>
          </w:p>
        </w:tc>
      </w:tr>
      <w:tr w:rsidR="002856AB" w14:paraId="5C051527" w14:textId="77777777" w:rsidTr="0056381C">
        <w:trPr>
          <w:cantSplit/>
        </w:trPr>
        <w:tc>
          <w:tcPr>
            <w:tcW w:w="916" w:type="pct"/>
          </w:tcPr>
          <w:p w14:paraId="7613C1F3" w14:textId="77777777" w:rsidR="002856AB" w:rsidRDefault="002856AB">
            <w:pPr>
              <w:spacing w:before="100" w:beforeAutospacing="1" w:after="100" w:afterAutospacing="1" w:line="276" w:lineRule="auto"/>
              <w:rPr>
                <w:rFonts w:ascii="David" w:hAnsi="David"/>
                <w:sz w:val="24"/>
                <w:rtl/>
              </w:rPr>
            </w:pPr>
          </w:p>
        </w:tc>
        <w:tc>
          <w:tcPr>
            <w:tcW w:w="845" w:type="pct"/>
          </w:tcPr>
          <w:p w14:paraId="6F0484B4" w14:textId="77777777" w:rsidR="002856AB" w:rsidRDefault="002856AB">
            <w:pPr>
              <w:spacing w:before="100" w:beforeAutospacing="1" w:after="100" w:afterAutospacing="1"/>
              <w:rPr>
                <w:rFonts w:ascii="David" w:hAnsi="David"/>
                <w:sz w:val="24"/>
              </w:rPr>
            </w:pPr>
          </w:p>
        </w:tc>
        <w:tc>
          <w:tcPr>
            <w:tcW w:w="352" w:type="pct"/>
          </w:tcPr>
          <w:p w14:paraId="1B63F04B" w14:textId="77777777" w:rsidR="002856AB" w:rsidRDefault="00CC2982">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64062D4F" w14:textId="77777777" w:rsidR="002856AB" w:rsidRDefault="002856AB">
            <w:pPr>
              <w:spacing w:before="100" w:beforeAutospacing="1" w:after="100" w:afterAutospacing="1" w:line="276" w:lineRule="auto"/>
              <w:rPr>
                <w:rFonts w:ascii="David" w:hAnsi="David"/>
                <w:sz w:val="24"/>
                <w:rtl/>
              </w:rPr>
            </w:pPr>
          </w:p>
        </w:tc>
      </w:tr>
      <w:tr w:rsidR="002856AB" w14:paraId="1CBDA443" w14:textId="77777777" w:rsidTr="0056381C">
        <w:trPr>
          <w:cantSplit/>
        </w:trPr>
        <w:tc>
          <w:tcPr>
            <w:tcW w:w="916" w:type="pct"/>
          </w:tcPr>
          <w:p w14:paraId="4A0950C2" w14:textId="5EFA293F" w:rsidR="002856AB" w:rsidRDefault="001604C5">
            <w:pPr>
              <w:spacing w:before="100" w:beforeAutospacing="1" w:after="100" w:afterAutospacing="1" w:line="276" w:lineRule="auto"/>
              <w:rPr>
                <w:rFonts w:ascii="David" w:hAnsi="David"/>
                <w:sz w:val="24"/>
                <w:rtl/>
              </w:rPr>
            </w:pPr>
            <w:r>
              <w:rPr>
                <w:rFonts w:ascii="David" w:hAnsi="David" w:hint="cs"/>
                <w:sz w:val="24"/>
                <w:rtl/>
              </w:rPr>
              <w:t>ה</w:t>
            </w:r>
            <w:r w:rsidR="00CC2982">
              <w:rPr>
                <w:rFonts w:ascii="David" w:hAnsi="David"/>
                <w:sz w:val="24"/>
                <w:rtl/>
              </w:rPr>
              <w:t>נתבע</w:t>
            </w:r>
            <w:r>
              <w:rPr>
                <w:rFonts w:ascii="David" w:hAnsi="David" w:hint="cs"/>
                <w:sz w:val="24"/>
                <w:rtl/>
              </w:rPr>
              <w:t>ת:</w:t>
            </w:r>
          </w:p>
        </w:tc>
        <w:tc>
          <w:tcPr>
            <w:tcW w:w="845" w:type="pct"/>
          </w:tcPr>
          <w:p w14:paraId="626C0947" w14:textId="77777777" w:rsidR="002856AB" w:rsidRDefault="002856AB">
            <w:pPr>
              <w:spacing w:before="100" w:beforeAutospacing="1" w:after="100" w:afterAutospacing="1"/>
              <w:rPr>
                <w:rFonts w:ascii="David" w:hAnsi="David"/>
                <w:sz w:val="24"/>
              </w:rPr>
            </w:pPr>
          </w:p>
        </w:tc>
        <w:tc>
          <w:tcPr>
            <w:tcW w:w="352" w:type="pct"/>
          </w:tcPr>
          <w:p w14:paraId="65ACCAB9" w14:textId="3E0D37AB" w:rsidR="002856AB" w:rsidRDefault="002856AB">
            <w:pPr>
              <w:spacing w:before="100" w:beforeAutospacing="1" w:after="100" w:afterAutospacing="1"/>
              <w:rPr>
                <w:rFonts w:ascii="David" w:hAnsi="David"/>
                <w:sz w:val="24"/>
              </w:rPr>
            </w:pPr>
          </w:p>
        </w:tc>
        <w:tc>
          <w:tcPr>
            <w:tcW w:w="2887" w:type="pct"/>
          </w:tcPr>
          <w:p w14:paraId="30EA048F" w14:textId="166F879B" w:rsidR="002856AB" w:rsidRDefault="00CC2982">
            <w:pPr>
              <w:spacing w:before="100" w:beforeAutospacing="1" w:after="100" w:afterAutospacing="1" w:line="276" w:lineRule="auto"/>
              <w:rPr>
                <w:rFonts w:ascii="David" w:hAnsi="David"/>
                <w:sz w:val="24"/>
                <w:rtl/>
              </w:rPr>
            </w:pPr>
            <w:r>
              <w:rPr>
                <w:rFonts w:ascii="David" w:hAnsi="David"/>
                <w:sz w:val="24"/>
                <w:rtl/>
              </w:rPr>
              <w:t xml:space="preserve">רבוע כחול נדל"ן בע"מ, </w:t>
            </w:r>
            <w:r w:rsidR="00FD04C2">
              <w:rPr>
                <w:rFonts w:ascii="David" w:hAnsi="David" w:hint="cs"/>
                <w:sz w:val="24"/>
                <w:rtl/>
              </w:rPr>
              <w:t>ח.פ.</w:t>
            </w:r>
            <w:r>
              <w:rPr>
                <w:rFonts w:ascii="David" w:hAnsi="David"/>
                <w:sz w:val="24"/>
                <w:rtl/>
              </w:rPr>
              <w:t xml:space="preserve"> 513765859</w:t>
            </w:r>
            <w:r>
              <w:br/>
            </w:r>
          </w:p>
        </w:tc>
      </w:tr>
      <w:tr w:rsidR="002856AB" w14:paraId="6EC91663" w14:textId="77777777" w:rsidTr="0056381C">
        <w:trPr>
          <w:cantSplit/>
        </w:trPr>
        <w:tc>
          <w:tcPr>
            <w:tcW w:w="916" w:type="pct"/>
          </w:tcPr>
          <w:p w14:paraId="32536EAA" w14:textId="77777777" w:rsidR="002856AB" w:rsidRDefault="002856AB">
            <w:pPr>
              <w:spacing w:before="100" w:beforeAutospacing="1" w:after="100" w:afterAutospacing="1" w:line="276" w:lineRule="auto"/>
              <w:rPr>
                <w:rFonts w:ascii="David" w:hAnsi="David"/>
                <w:sz w:val="24"/>
                <w:rtl/>
              </w:rPr>
            </w:pPr>
          </w:p>
        </w:tc>
        <w:tc>
          <w:tcPr>
            <w:tcW w:w="845" w:type="pct"/>
          </w:tcPr>
          <w:p w14:paraId="45C93ECF" w14:textId="77777777" w:rsidR="002856AB" w:rsidRDefault="002856AB">
            <w:pPr>
              <w:spacing w:before="100" w:beforeAutospacing="1" w:after="100" w:afterAutospacing="1"/>
              <w:rPr>
                <w:rFonts w:ascii="David" w:hAnsi="David"/>
                <w:sz w:val="24"/>
              </w:rPr>
            </w:pPr>
          </w:p>
        </w:tc>
        <w:tc>
          <w:tcPr>
            <w:tcW w:w="352" w:type="pct"/>
          </w:tcPr>
          <w:p w14:paraId="547B56E0" w14:textId="77777777" w:rsidR="002856AB" w:rsidRDefault="002856AB">
            <w:pPr>
              <w:spacing w:before="100" w:beforeAutospacing="1" w:after="100" w:afterAutospacing="1"/>
              <w:rPr>
                <w:rFonts w:ascii="David" w:hAnsi="David"/>
                <w:sz w:val="24"/>
              </w:rPr>
            </w:pPr>
          </w:p>
        </w:tc>
        <w:tc>
          <w:tcPr>
            <w:tcW w:w="2887" w:type="pct"/>
          </w:tcPr>
          <w:p w14:paraId="1AC0BAC0" w14:textId="77777777" w:rsidR="002856AB" w:rsidRDefault="00CC2982">
            <w:pPr>
              <w:spacing w:before="100" w:beforeAutospacing="1" w:after="100" w:afterAutospacing="1" w:line="276" w:lineRule="auto"/>
              <w:rPr>
                <w:rFonts w:ascii="David" w:hAnsi="David"/>
                <w:sz w:val="24"/>
                <w:rtl/>
              </w:rPr>
            </w:pPr>
            <w:r>
              <w:rPr>
                <w:rFonts w:ascii="David" w:hAnsi="David"/>
                <w:sz w:val="24"/>
                <w:rtl/>
              </w:rPr>
              <w:t xml:space="preserve">באמצעות ב"כ: עו"ד </w:t>
            </w:r>
            <w:proofErr w:type="spellStart"/>
            <w:r>
              <w:rPr>
                <w:rFonts w:ascii="David" w:hAnsi="David"/>
                <w:sz w:val="24"/>
                <w:rtl/>
              </w:rPr>
              <w:t>סקרבניק</w:t>
            </w:r>
            <w:proofErr w:type="spellEnd"/>
            <w:r>
              <w:rPr>
                <w:rFonts w:ascii="David" w:hAnsi="David"/>
                <w:sz w:val="24"/>
                <w:rtl/>
              </w:rPr>
              <w:t xml:space="preserve"> אסף</w:t>
            </w:r>
            <w:r>
              <w:br/>
            </w:r>
            <w:r>
              <w:rPr>
                <w:rFonts w:ascii="David" w:hAnsi="David"/>
                <w:sz w:val="24"/>
                <w:rtl/>
              </w:rPr>
              <w:t>ברקוביץ 4, תל אביב - יפו</w:t>
            </w:r>
            <w:r>
              <w:br/>
            </w:r>
            <w:r>
              <w:rPr>
                <w:rFonts w:ascii="David" w:hAnsi="David"/>
                <w:sz w:val="24"/>
                <w:rtl/>
              </w:rPr>
              <w:t xml:space="preserve">טל':0544301031 </w:t>
            </w:r>
            <w:r>
              <w:br/>
            </w:r>
          </w:p>
        </w:tc>
      </w:tr>
    </w:tbl>
    <w:p w14:paraId="336CCE79" w14:textId="77777777" w:rsidR="00850B49" w:rsidRPr="008A7D76" w:rsidRDefault="00850B49" w:rsidP="008A2AB4">
      <w:pPr>
        <w:contextualSpacing w:val="0"/>
        <w:rPr>
          <w:rFonts w:ascii="David" w:hAnsi="David"/>
          <w:sz w:val="24"/>
        </w:rPr>
      </w:pPr>
    </w:p>
    <w:p w14:paraId="7039D132" w14:textId="77777777" w:rsidR="003F0297" w:rsidRPr="008A7D76" w:rsidRDefault="001E56A2" w:rsidP="009266B5">
      <w:pPr>
        <w:spacing w:before="100" w:beforeAutospacing="1" w:after="240" w:line="360" w:lineRule="auto"/>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החלטה</w:t>
      </w:r>
    </w:p>
    <w:p w14:paraId="60C1999D" w14:textId="42F914D4" w:rsidR="00DA03B2" w:rsidRDefault="00DA03B2" w:rsidP="008B534E">
      <w:pPr>
        <w:spacing w:before="100" w:beforeAutospacing="1" w:after="240" w:line="360" w:lineRule="auto"/>
        <w:contextualSpacing w:val="0"/>
        <w:jc w:val="both"/>
        <w:rPr>
          <w:rtl/>
        </w:rPr>
      </w:pPr>
      <w:r>
        <w:rPr>
          <w:rFonts w:hint="cs"/>
          <w:rtl/>
        </w:rPr>
        <w:t xml:space="preserve">לפניי בקשה לסילוק התביעה על הסף בשל חוסר סמכות עניינית, וזאת מהטעם שהנתבעת לא הוכיחה כי היא "מתחזק" ומהטעם שהנתבעת אינה בעלת דירה בבית המשותף נושא ההליך. אקדים ואומר כי דין הבקשה להתקבל. </w:t>
      </w:r>
    </w:p>
    <w:p w14:paraId="4D77FD43" w14:textId="222267CB" w:rsidR="00DA03B2" w:rsidRPr="00DA03B2" w:rsidRDefault="00DA03B2" w:rsidP="009266B5">
      <w:pPr>
        <w:spacing w:before="100" w:beforeAutospacing="1" w:after="240" w:line="360" w:lineRule="auto"/>
        <w:contextualSpacing w:val="0"/>
        <w:jc w:val="both"/>
        <w:outlineLvl w:val="1"/>
        <w:rPr>
          <w:b/>
          <w:bCs/>
          <w:u w:val="single"/>
          <w:rtl/>
        </w:rPr>
      </w:pPr>
      <w:r>
        <w:rPr>
          <w:rFonts w:hint="cs"/>
          <w:b/>
          <w:bCs/>
          <w:u w:val="single"/>
          <w:rtl/>
        </w:rPr>
        <w:t>הרקע לבקשה</w:t>
      </w:r>
    </w:p>
    <w:p w14:paraId="17DE42FC" w14:textId="7F4E57EE" w:rsidR="007A7581" w:rsidRDefault="007A7581" w:rsidP="008B534E">
      <w:pPr>
        <w:pStyle w:val="ac"/>
        <w:numPr>
          <w:ilvl w:val="0"/>
          <w:numId w:val="15"/>
        </w:numPr>
        <w:spacing w:before="100" w:beforeAutospacing="1" w:after="240" w:line="360" w:lineRule="auto"/>
        <w:contextualSpacing w:val="0"/>
        <w:jc w:val="both"/>
      </w:pPr>
      <w:r>
        <w:rPr>
          <w:rFonts w:hint="cs"/>
          <w:rtl/>
        </w:rPr>
        <w:t xml:space="preserve">לטענת </w:t>
      </w:r>
      <w:r w:rsidR="00DA03B2">
        <w:rPr>
          <w:rFonts w:hint="cs"/>
          <w:rtl/>
        </w:rPr>
        <w:t xml:space="preserve">התובעת </w:t>
      </w:r>
      <w:r>
        <w:rPr>
          <w:rFonts w:hint="cs"/>
          <w:rtl/>
        </w:rPr>
        <w:t>החל משנת 2012 היא נותנת שירותי תחזוקה וניהול לבית המשותף שכתובתו ד"ר יוסף סמלו 10 נתיבות, ואשר ידוע כגוש 39583 חלקה 78 (להלן: "</w:t>
      </w:r>
      <w:r>
        <w:rPr>
          <w:rFonts w:hint="cs"/>
          <w:b/>
          <w:bCs/>
          <w:rtl/>
        </w:rPr>
        <w:t>הבית המשותף</w:t>
      </w:r>
      <w:r>
        <w:rPr>
          <w:rFonts w:hint="cs"/>
          <w:rtl/>
        </w:rPr>
        <w:t xml:space="preserve">"). הנתבעת הייתה בעלת דירה בבית המשותף מיום </w:t>
      </w:r>
      <w:proofErr w:type="spellStart"/>
      <w:r>
        <w:rPr>
          <w:rFonts w:hint="cs"/>
          <w:rtl/>
        </w:rPr>
        <w:t>היווסדו</w:t>
      </w:r>
      <w:proofErr w:type="spellEnd"/>
      <w:r>
        <w:rPr>
          <w:rFonts w:hint="cs"/>
          <w:rtl/>
        </w:rPr>
        <w:t xml:space="preserve"> ועד ליום 30.10.2017.</w:t>
      </w:r>
    </w:p>
    <w:p w14:paraId="7B903B18" w14:textId="7CEB2FF3" w:rsidR="007A7581" w:rsidRDefault="007A7581" w:rsidP="008B534E">
      <w:pPr>
        <w:pStyle w:val="ac"/>
        <w:numPr>
          <w:ilvl w:val="0"/>
          <w:numId w:val="15"/>
        </w:numPr>
        <w:spacing w:before="100" w:beforeAutospacing="1" w:after="240" w:line="360" w:lineRule="auto"/>
        <w:contextualSpacing w:val="0"/>
        <w:jc w:val="both"/>
      </w:pPr>
      <w:r>
        <w:rPr>
          <w:rFonts w:hint="cs"/>
          <w:rtl/>
        </w:rPr>
        <w:t>בכתב התביעה נטען כי התובעת לא שילמה את חלקה בהוצאות החזקתו התקינה וניהולו של הרכוש המשותף, וזאת בניגוד להוראות סעיף 58(א) לחוק המקרקעין, התשכ"ט-1969 (להלן: "</w:t>
      </w:r>
      <w:r w:rsidRPr="007A7581">
        <w:rPr>
          <w:rFonts w:hint="cs"/>
          <w:b/>
          <w:bCs/>
          <w:rtl/>
        </w:rPr>
        <w:t>חוק המקרקעין</w:t>
      </w:r>
      <w:r>
        <w:rPr>
          <w:rFonts w:hint="cs"/>
          <w:rtl/>
        </w:rPr>
        <w:t>"), ואף בניגוד להוראות הסכם המכר במסגרתו רכשה הנתבעת את הדירה שהייתה בבעלותה בבית המשותף. סכום התביעה הועמד על סך של 1,100,540 ש"ח, בצירוף מע"מ ובצירוף ריבית והצמדה ממועד התשלום המקורי.</w:t>
      </w:r>
    </w:p>
    <w:p w14:paraId="659B7FF3" w14:textId="730A8F1B" w:rsidR="007A7581" w:rsidRDefault="007A7581" w:rsidP="008B534E">
      <w:pPr>
        <w:pStyle w:val="ac"/>
        <w:numPr>
          <w:ilvl w:val="0"/>
          <w:numId w:val="15"/>
        </w:numPr>
        <w:spacing w:before="100" w:beforeAutospacing="1" w:after="240" w:line="360" w:lineRule="auto"/>
        <w:contextualSpacing w:val="0"/>
        <w:jc w:val="both"/>
      </w:pPr>
      <w:r>
        <w:rPr>
          <w:rFonts w:hint="cs"/>
          <w:rtl/>
        </w:rPr>
        <w:lastRenderedPageBreak/>
        <w:t>בכתב ההגנה טענה הנתבעת טענות רבות אשר מצדיקות, לעמדת הנתבעת, את דחיית התביעה על הסף ולגופה. בין היתר ולענייננו, נטען כי יש לדחות את התביעה על הסף בשל חוסר סמכות המפקח על רישום מקרקעין לדון בתביעה</w:t>
      </w:r>
      <w:r w:rsidR="00FD04C2">
        <w:rPr>
          <w:rFonts w:hint="cs"/>
          <w:rtl/>
        </w:rPr>
        <w:t xml:space="preserve"> </w:t>
      </w:r>
      <w:r>
        <w:rPr>
          <w:rFonts w:hint="cs"/>
          <w:rtl/>
        </w:rPr>
        <w:t xml:space="preserve">משני טעמים: (1) התובעת אינה "מתחזק", כמשמעות המונח בסעיף 71(ב)(1) לחוק המקרקעין, והיא אינה נמנית על אחד הגורמים אשר זכאים להביא סכסוך להכרעתו של המפקח, כאמור בסעיף 73 לחוק המקרקעין; (2) הנתבעת אינה עוד בעלת דירה בבית המשותף, ועל-כן הסכסוך נושא התביעה אינו בא בגדר הסכסוכים אשר נתונים להכרעתו של המפקח, בהתאם להוראות סעיף 72 לחוק המקרקעין. </w:t>
      </w:r>
    </w:p>
    <w:p w14:paraId="516D6207" w14:textId="2027F210" w:rsidR="00AA19F1" w:rsidRDefault="00AA19F1" w:rsidP="008B534E">
      <w:pPr>
        <w:pStyle w:val="ac"/>
        <w:numPr>
          <w:ilvl w:val="0"/>
          <w:numId w:val="15"/>
        </w:numPr>
        <w:spacing w:before="100" w:beforeAutospacing="1" w:after="240" w:line="360" w:lineRule="auto"/>
        <w:contextualSpacing w:val="0"/>
        <w:jc w:val="both"/>
      </w:pPr>
      <w:r>
        <w:rPr>
          <w:rFonts w:hint="cs"/>
          <w:rtl/>
        </w:rPr>
        <w:t xml:space="preserve">במסגרת רשימת הבקשות שהגישה הנתבעת לפני הדיון המקדמי ביקשה הנתבעת פעם נוספת לסלק את התביעה על הסף בשל חוסר סמכות עניינית, אולם בבקשתה זו ציינה רק את טענתה לפיה התובעת אינה מתחזק. </w:t>
      </w:r>
      <w:r w:rsidR="00FD04C2">
        <w:rPr>
          <w:rFonts w:hint="cs"/>
          <w:rtl/>
        </w:rPr>
        <w:t>התובעת לא השיבה לרשימת הבקשות</w:t>
      </w:r>
    </w:p>
    <w:p w14:paraId="274F9469" w14:textId="0BCFD8BA" w:rsidR="00AA19F1" w:rsidRDefault="00AA19F1" w:rsidP="008B534E">
      <w:pPr>
        <w:pStyle w:val="ac"/>
        <w:numPr>
          <w:ilvl w:val="0"/>
          <w:numId w:val="15"/>
        </w:numPr>
        <w:spacing w:before="100" w:beforeAutospacing="1" w:after="240" w:line="360" w:lineRule="auto"/>
        <w:contextualSpacing w:val="0"/>
        <w:jc w:val="both"/>
      </w:pPr>
      <w:r>
        <w:rPr>
          <w:rFonts w:hint="cs"/>
          <w:rtl/>
        </w:rPr>
        <w:t xml:space="preserve">ביום 10.2.2025, בבוקר היום בו היה קבוע דיון קדם המשפט, הודיע ב"כ התובעת כי נבצר ממנו להתייצב לדיון, וביקש את שינוי מועד הדיון. בהחלטותיי מאותו יום הוריתי על ביטול הדיון, אולם קבעתי כי בטרם ייקבע מועד חדש לדיון התובעת תשיב לטענות חוסר הסמכות העניינית ותבהיר האם היא "מתחזק", כמשמעות המונח בחוק המקרקעין; וכן מדוע לא </w:t>
      </w:r>
      <w:r w:rsidR="00FD04C2">
        <w:rPr>
          <w:rFonts w:hint="cs"/>
          <w:rtl/>
        </w:rPr>
        <w:t>תימחק</w:t>
      </w:r>
      <w:r>
        <w:rPr>
          <w:rFonts w:hint="cs"/>
          <w:rtl/>
        </w:rPr>
        <w:t xml:space="preserve"> התביעה בשל כך שהנתבעת אינה עוד בעלת דירה בבית המשותף. </w:t>
      </w:r>
    </w:p>
    <w:p w14:paraId="442EAD62" w14:textId="7AF20EB3" w:rsidR="00AA19F1" w:rsidRDefault="00AA19F1" w:rsidP="001A19C0">
      <w:pPr>
        <w:pStyle w:val="ac"/>
        <w:numPr>
          <w:ilvl w:val="0"/>
          <w:numId w:val="15"/>
        </w:numPr>
        <w:spacing w:before="100" w:beforeAutospacing="1" w:after="240" w:line="360" w:lineRule="auto"/>
        <w:contextualSpacing w:val="0"/>
        <w:jc w:val="both"/>
      </w:pPr>
      <w:r>
        <w:rPr>
          <w:rFonts w:hint="cs"/>
          <w:rtl/>
        </w:rPr>
        <w:t xml:space="preserve">בהתאם להחלטתי השיבה התובעת כי היא סבורה כי למפקח על רישום מקרקעין סמכות לדון בתביעה. </w:t>
      </w:r>
      <w:r w:rsidRPr="00FD04C2">
        <w:rPr>
          <w:rFonts w:hint="cs"/>
          <w:b/>
          <w:bCs/>
          <w:rtl/>
        </w:rPr>
        <w:t>בנוגע לשאלת מעמד</w:t>
      </w:r>
      <w:r w:rsidR="00FD04C2" w:rsidRPr="00FD04C2">
        <w:rPr>
          <w:rFonts w:hint="cs"/>
          <w:b/>
          <w:bCs/>
          <w:rtl/>
        </w:rPr>
        <w:t xml:space="preserve"> התובעת</w:t>
      </w:r>
      <w:r w:rsidRPr="00FD04C2">
        <w:rPr>
          <w:rFonts w:hint="cs"/>
          <w:b/>
          <w:bCs/>
          <w:rtl/>
        </w:rPr>
        <w:t xml:space="preserve"> כמתחזק</w:t>
      </w:r>
      <w:r w:rsidR="00FD04C2">
        <w:rPr>
          <w:rFonts w:hint="cs"/>
          <w:rtl/>
        </w:rPr>
        <w:t xml:space="preserve"> התובעת</w:t>
      </w:r>
      <w:r>
        <w:rPr>
          <w:rFonts w:hint="cs"/>
          <w:rtl/>
        </w:rPr>
        <w:t xml:space="preserve"> טענה </w:t>
      </w:r>
      <w:r w:rsidR="00FD04C2">
        <w:rPr>
          <w:rFonts w:hint="cs"/>
          <w:rtl/>
        </w:rPr>
        <w:t>ש</w:t>
      </w:r>
      <w:r w:rsidR="00EC68CE">
        <w:rPr>
          <w:rFonts w:hint="cs"/>
          <w:rtl/>
        </w:rPr>
        <w:t>היא מונתה למתחזק החל מיום 1.1.2012, וזאת בעקבות זכייתה במכרז שערכו נציגות הבית המשותף והיזם שהקים את הבית המשותף, שבזמנו היה הבעלים של 60% משטחי הבית המשותף. ביום 6.7.2017 נערכה בפעם הראשונה אסיפה כללית של בעלי הדירות בבית המשותף, ונקבע בה כי יתקיים מכרז חדש לחברת החזקה וניהול. גם במכרז זה זכתה התובעת, ובעקבותיו נחתם ביום 1.11.2017 חוזה חדש בין התובעת לבין נציגות הבית המשותף (הסכם זה צורף כנספח ד' לכתב התביעה). כן טענה התובעת כי היא בעלת הזכויות במספר דירות בבית המשותף.</w:t>
      </w:r>
    </w:p>
    <w:p w14:paraId="20FFF1E8" w14:textId="395C17A1" w:rsidR="00EC68CE" w:rsidRDefault="00EC68CE" w:rsidP="008B534E">
      <w:pPr>
        <w:pStyle w:val="ac"/>
        <w:numPr>
          <w:ilvl w:val="0"/>
          <w:numId w:val="15"/>
        </w:numPr>
        <w:spacing w:before="100" w:beforeAutospacing="1" w:after="240" w:line="360" w:lineRule="auto"/>
        <w:contextualSpacing w:val="0"/>
        <w:jc w:val="both"/>
      </w:pPr>
      <w:r w:rsidRPr="00FD04C2">
        <w:rPr>
          <w:rFonts w:hint="cs"/>
          <w:b/>
          <w:bCs/>
          <w:rtl/>
        </w:rPr>
        <w:t>בנוגע לטענת חוסר הסמכות בשל כך שהנתבעת אינה בעלת דירה בבית המשותף</w:t>
      </w:r>
      <w:r>
        <w:rPr>
          <w:rFonts w:hint="cs"/>
          <w:rtl/>
        </w:rPr>
        <w:t xml:space="preserve"> נטען כי שאלת מעמד הצדדים נבחנת בהתאם למועד הרלוונטי ל</w:t>
      </w:r>
      <w:r w:rsidR="00FD04C2">
        <w:rPr>
          <w:rFonts w:hint="cs"/>
          <w:rtl/>
        </w:rPr>
        <w:t>עילה שב</w:t>
      </w:r>
      <w:r>
        <w:rPr>
          <w:rFonts w:hint="cs"/>
          <w:rtl/>
        </w:rPr>
        <w:t xml:space="preserve">כתב התביעה, ולא למעמדם ביום הגשת התביעה; כן נטען כי למפקח מומחיות בבירור תביעות דוגמת התביעה דנן, ולכן ישנו יתרון בבירור התביעה על-ידי המפקח. </w:t>
      </w:r>
    </w:p>
    <w:p w14:paraId="6E28353B" w14:textId="654B6B7F" w:rsidR="002D0DC6" w:rsidRPr="002D0DC6" w:rsidRDefault="002D0DC6" w:rsidP="009266B5">
      <w:pPr>
        <w:spacing w:before="100" w:beforeAutospacing="1" w:after="240" w:line="360" w:lineRule="auto"/>
        <w:contextualSpacing w:val="0"/>
        <w:jc w:val="both"/>
        <w:outlineLvl w:val="1"/>
        <w:rPr>
          <w:b/>
          <w:bCs/>
          <w:u w:val="single"/>
        </w:rPr>
      </w:pPr>
      <w:r>
        <w:rPr>
          <w:rFonts w:hint="cs"/>
          <w:b/>
          <w:bCs/>
          <w:u w:val="single"/>
          <w:rtl/>
        </w:rPr>
        <w:t>דיון והכרעה</w:t>
      </w:r>
    </w:p>
    <w:p w14:paraId="4225A02D" w14:textId="5E6F3CA0" w:rsidR="002D0DC6" w:rsidRDefault="00CE2359" w:rsidP="008B534E">
      <w:pPr>
        <w:pStyle w:val="ac"/>
        <w:numPr>
          <w:ilvl w:val="0"/>
          <w:numId w:val="15"/>
        </w:numPr>
        <w:spacing w:before="100" w:beforeAutospacing="1" w:after="240" w:line="360" w:lineRule="auto"/>
        <w:contextualSpacing w:val="0"/>
        <w:jc w:val="both"/>
      </w:pPr>
      <w:r>
        <w:rPr>
          <w:rFonts w:hint="cs"/>
          <w:rtl/>
        </w:rPr>
        <w:lastRenderedPageBreak/>
        <w:t>שאלת סמכותו של המפקח על רישום מקרקעין לדון בסכסוך נדונה והוכרעה זה מכבר. בתמצית אומר כי נקבע שסמכות המפקח נקנית בכפוף להתקיימותם של שני</w:t>
      </w:r>
      <w:r w:rsidRPr="00CE2359">
        <w:rPr>
          <w:rFonts w:ascii="David" w:hAnsi="David"/>
          <w:color w:val="000000"/>
          <w:shd w:val="clear" w:color="auto" w:fill="FFFFFF"/>
          <w:rtl/>
        </w:rPr>
        <w:t xml:space="preserve"> תנאים </w:t>
      </w:r>
      <w:r w:rsidRPr="00CE2359">
        <w:rPr>
          <w:rFonts w:ascii="David" w:hAnsi="David"/>
          <w:b/>
          <w:bCs/>
          <w:color w:val="000000"/>
          <w:shd w:val="clear" w:color="auto" w:fill="FFFFFF"/>
          <w:rtl/>
        </w:rPr>
        <w:t>מצטברים</w:t>
      </w:r>
      <w:r w:rsidRPr="00CE2359">
        <w:rPr>
          <w:rFonts w:ascii="David" w:hAnsi="David" w:hint="cs"/>
          <w:color w:val="000000"/>
          <w:shd w:val="clear" w:color="auto" w:fill="FFFFFF"/>
          <w:rtl/>
        </w:rPr>
        <w:t>:</w:t>
      </w:r>
      <w:r w:rsidRPr="00CE2359">
        <w:rPr>
          <w:rFonts w:ascii="David" w:hAnsi="David"/>
          <w:b/>
          <w:bCs/>
          <w:color w:val="000000"/>
          <w:shd w:val="clear" w:color="auto" w:fill="FFFFFF"/>
          <w:rtl/>
        </w:rPr>
        <w:t xml:space="preserve"> התנאי הראש</w:t>
      </w:r>
      <w:r>
        <w:rPr>
          <w:rFonts w:ascii="David" w:hAnsi="David" w:hint="cs"/>
          <w:b/>
          <w:bCs/>
          <w:color w:val="000000"/>
          <w:shd w:val="clear" w:color="auto" w:fill="FFFFFF"/>
          <w:rtl/>
        </w:rPr>
        <w:t xml:space="preserve">ון </w:t>
      </w:r>
      <w:r>
        <w:rPr>
          <w:rFonts w:ascii="David" w:hAnsi="David"/>
          <w:color w:val="000000"/>
          <w:shd w:val="clear" w:color="auto" w:fill="FFFFFF"/>
          <w:rtl/>
        </w:rPr>
        <w:t>–</w:t>
      </w:r>
      <w:r>
        <w:rPr>
          <w:rFonts w:ascii="David" w:hAnsi="David" w:hint="cs"/>
          <w:color w:val="000000"/>
          <w:shd w:val="clear" w:color="auto" w:fill="FFFFFF"/>
          <w:rtl/>
        </w:rPr>
        <w:t xml:space="preserve"> </w:t>
      </w:r>
      <w:r w:rsidR="0068119F" w:rsidRPr="00CE2359">
        <w:rPr>
          <w:rFonts w:ascii="David" w:hAnsi="David"/>
          <w:color w:val="000000"/>
          <w:shd w:val="clear" w:color="auto" w:fill="FFFFFF"/>
          <w:rtl/>
        </w:rPr>
        <w:t>תנאי "זהות הצדדים" במסגרתו נבחן האם הצדדים לתביעה הם אלה שהמפקח מוסמך להכריע בעניינם</w:t>
      </w:r>
      <w:r>
        <w:rPr>
          <w:rFonts w:ascii="David" w:hAnsi="David" w:hint="cs"/>
          <w:color w:val="000000"/>
          <w:shd w:val="clear" w:color="auto" w:fill="FFFFFF"/>
          <w:rtl/>
        </w:rPr>
        <w:t>;</w:t>
      </w:r>
      <w:r w:rsidR="0068119F">
        <w:rPr>
          <w:rFonts w:ascii="David" w:hAnsi="David" w:hint="cs"/>
          <w:color w:val="000000"/>
          <w:shd w:val="clear" w:color="auto" w:fill="FFFFFF"/>
          <w:rtl/>
        </w:rPr>
        <w:t xml:space="preserve"> </w:t>
      </w:r>
      <w:r w:rsidRPr="00CE2359">
        <w:rPr>
          <w:rFonts w:ascii="David" w:hAnsi="David"/>
          <w:b/>
          <w:bCs/>
          <w:color w:val="000000"/>
          <w:shd w:val="clear" w:color="auto" w:fill="FFFFFF"/>
          <w:rtl/>
        </w:rPr>
        <w:t>התנאי השני</w:t>
      </w:r>
      <w:r>
        <w:rPr>
          <w:rFonts w:ascii="David" w:hAnsi="David" w:hint="cs"/>
          <w:color w:val="000000"/>
          <w:shd w:val="clear" w:color="auto" w:fill="FFFFFF"/>
          <w:rtl/>
        </w:rPr>
        <w:t xml:space="preserve"> </w:t>
      </w:r>
      <w:r w:rsidR="0068119F">
        <w:rPr>
          <w:rFonts w:ascii="David" w:hAnsi="David"/>
          <w:color w:val="000000"/>
          <w:shd w:val="clear" w:color="auto" w:fill="FFFFFF"/>
          <w:rtl/>
        </w:rPr>
        <w:t>–</w:t>
      </w:r>
      <w:r w:rsidR="0068119F">
        <w:rPr>
          <w:rFonts w:ascii="David" w:hAnsi="David" w:hint="cs"/>
          <w:color w:val="000000"/>
          <w:shd w:val="clear" w:color="auto" w:fill="FFFFFF"/>
          <w:rtl/>
        </w:rPr>
        <w:t xml:space="preserve"> </w:t>
      </w:r>
      <w:r w:rsidR="0068119F" w:rsidRPr="00CE2359">
        <w:rPr>
          <w:rFonts w:ascii="David" w:hAnsi="David"/>
          <w:color w:val="000000"/>
          <w:shd w:val="clear" w:color="auto" w:fill="FFFFFF"/>
          <w:rtl/>
        </w:rPr>
        <w:t>תנאי "מהות הסכסוך" במסגרתו נבחנת השאלה האם עילת התביעה מנויה בהור</w:t>
      </w:r>
      <w:r w:rsidR="0068119F" w:rsidRPr="00CE2359">
        <w:rPr>
          <w:rFonts w:ascii="David" w:hAnsi="David" w:hint="cs"/>
          <w:color w:val="000000"/>
          <w:shd w:val="clear" w:color="auto" w:fill="FFFFFF"/>
          <w:rtl/>
        </w:rPr>
        <w:t>אות סעיף 72 לחוק המקרקעין</w:t>
      </w:r>
      <w:r w:rsidR="0068119F">
        <w:rPr>
          <w:rFonts w:ascii="David" w:hAnsi="David"/>
          <w:color w:val="000000"/>
          <w:shd w:val="clear" w:color="auto" w:fill="FFFFFF"/>
          <w:rtl/>
        </w:rPr>
        <w:t xml:space="preserve"> </w:t>
      </w:r>
      <w:r w:rsidR="0068119F">
        <w:rPr>
          <w:rFonts w:ascii="David" w:hAnsi="David" w:hint="cs"/>
          <w:color w:val="000000"/>
          <w:shd w:val="clear" w:color="auto" w:fill="FFFFFF"/>
          <w:rtl/>
        </w:rPr>
        <w:t>(</w:t>
      </w:r>
      <w:r w:rsidRPr="00CE2359">
        <w:rPr>
          <w:rFonts w:ascii="David" w:hAnsi="David"/>
          <w:color w:val="000000"/>
          <w:shd w:val="clear" w:color="auto" w:fill="FFFFFF"/>
          <w:rtl/>
        </w:rPr>
        <w:t>ראו</w:t>
      </w:r>
      <w:r>
        <w:rPr>
          <w:rFonts w:ascii="David" w:hAnsi="David" w:hint="cs"/>
          <w:color w:val="000000"/>
          <w:shd w:val="clear" w:color="auto" w:fill="FFFFFF"/>
          <w:rtl/>
        </w:rPr>
        <w:t>: רע"א 6394/15</w:t>
      </w:r>
      <w:r>
        <w:rPr>
          <w:rFonts w:ascii="David" w:hAnsi="David" w:hint="cs"/>
          <w:b/>
          <w:bCs/>
          <w:color w:val="000000"/>
          <w:shd w:val="clear" w:color="auto" w:fill="FFFFFF"/>
          <w:rtl/>
        </w:rPr>
        <w:t xml:space="preserve"> </w:t>
      </w:r>
      <w:r w:rsidRPr="00CE2359">
        <w:rPr>
          <w:rFonts w:ascii="David" w:hAnsi="David"/>
          <w:b/>
          <w:bCs/>
          <w:color w:val="000000"/>
          <w:shd w:val="clear" w:color="auto" w:fill="FFFFFF"/>
          <w:rtl/>
        </w:rPr>
        <w:t>נציגות הבית המשותף קניון לב כרמיאל נ' חנית ניהול קניון כרמיאל בע"מ</w:t>
      </w:r>
      <w:r>
        <w:rPr>
          <w:rFonts w:ascii="David" w:hAnsi="David" w:hint="cs"/>
          <w:color w:val="000000"/>
          <w:shd w:val="clear" w:color="auto" w:fill="FFFFFF"/>
          <w:rtl/>
        </w:rPr>
        <w:t xml:space="preserve">, </w:t>
      </w:r>
      <w:r w:rsidRPr="00CE2359">
        <w:rPr>
          <w:rFonts w:ascii="David" w:hAnsi="David"/>
          <w:color w:val="000000"/>
          <w:shd w:val="clear" w:color="auto" w:fill="FFFFFF"/>
          <w:rtl/>
        </w:rPr>
        <w:t xml:space="preserve">פסקה </w:t>
      </w:r>
      <w:r w:rsidRPr="00CE2359">
        <w:rPr>
          <w:rFonts w:ascii="David" w:hAnsi="David"/>
          <w:color w:val="000000"/>
          <w:shd w:val="clear" w:color="auto" w:fill="FFFFFF"/>
        </w:rPr>
        <w:t>(17.3.2016)</w:t>
      </w:r>
      <w:r w:rsidR="0068119F">
        <w:rPr>
          <w:rFonts w:ascii="David" w:hAnsi="David" w:hint="cs"/>
          <w:color w:val="000000"/>
          <w:shd w:val="clear" w:color="auto" w:fill="FFFFFF"/>
          <w:rtl/>
        </w:rPr>
        <w:t xml:space="preserve"> </w:t>
      </w:r>
      <w:r w:rsidR="0068119F" w:rsidRPr="0068119F">
        <w:rPr>
          <w:rFonts w:ascii="David" w:hAnsi="David" w:hint="cs"/>
          <w:color w:val="000000"/>
          <w:shd w:val="clear" w:color="auto" w:fill="FFFFFF"/>
          <w:rtl/>
        </w:rPr>
        <w:t>(להלן: "</w:t>
      </w:r>
      <w:r w:rsidR="0068119F">
        <w:rPr>
          <w:rFonts w:ascii="David" w:hAnsi="David" w:hint="cs"/>
          <w:b/>
          <w:bCs/>
          <w:color w:val="000000"/>
          <w:shd w:val="clear" w:color="auto" w:fill="FFFFFF"/>
          <w:rtl/>
        </w:rPr>
        <w:t>עניין לב כרמ</w:t>
      </w:r>
      <w:r w:rsidR="00FD04C2">
        <w:rPr>
          <w:rFonts w:ascii="David" w:hAnsi="David" w:hint="cs"/>
          <w:b/>
          <w:bCs/>
          <w:color w:val="000000"/>
          <w:shd w:val="clear" w:color="auto" w:fill="FFFFFF"/>
          <w:rtl/>
        </w:rPr>
        <w:t>יא</w:t>
      </w:r>
      <w:r w:rsidR="0068119F">
        <w:rPr>
          <w:rFonts w:ascii="David" w:hAnsi="David" w:hint="cs"/>
          <w:b/>
          <w:bCs/>
          <w:color w:val="000000"/>
          <w:shd w:val="clear" w:color="auto" w:fill="FFFFFF"/>
          <w:rtl/>
        </w:rPr>
        <w:t>ל</w:t>
      </w:r>
      <w:r w:rsidR="0068119F" w:rsidRPr="0068119F">
        <w:rPr>
          <w:rFonts w:ascii="David" w:hAnsi="David" w:hint="cs"/>
          <w:color w:val="000000"/>
          <w:shd w:val="clear" w:color="auto" w:fill="FFFFFF"/>
          <w:rtl/>
        </w:rPr>
        <w:t>")</w:t>
      </w:r>
      <w:r>
        <w:rPr>
          <w:rFonts w:ascii="David" w:hAnsi="David" w:hint="cs"/>
          <w:color w:val="000000"/>
          <w:shd w:val="clear" w:color="auto" w:fill="FFFFFF"/>
          <w:rtl/>
        </w:rPr>
        <w:t>).</w:t>
      </w:r>
    </w:p>
    <w:p w14:paraId="22502BF5" w14:textId="006EC363" w:rsidR="00CE2359" w:rsidRDefault="00CE2359" w:rsidP="008B534E">
      <w:pPr>
        <w:pStyle w:val="ac"/>
        <w:numPr>
          <w:ilvl w:val="0"/>
          <w:numId w:val="15"/>
        </w:numPr>
        <w:spacing w:before="100" w:beforeAutospacing="1" w:after="240" w:line="360" w:lineRule="auto"/>
        <w:contextualSpacing w:val="0"/>
        <w:jc w:val="both"/>
      </w:pPr>
      <w:r>
        <w:rPr>
          <w:rFonts w:hint="cs"/>
          <w:rtl/>
        </w:rPr>
        <w:t>בענייננו אין חולק ש</w:t>
      </w:r>
      <w:r w:rsidR="00FD04C2">
        <w:rPr>
          <w:rFonts w:hint="cs"/>
          <w:rtl/>
        </w:rPr>
        <w:t xml:space="preserve">עילת </w:t>
      </w:r>
      <w:r>
        <w:rPr>
          <w:rFonts w:hint="cs"/>
          <w:rtl/>
        </w:rPr>
        <w:t xml:space="preserve">התביעה, </w:t>
      </w:r>
      <w:r w:rsidR="00FD04C2">
        <w:rPr>
          <w:rFonts w:hint="cs"/>
          <w:rtl/>
        </w:rPr>
        <w:t>הפרת חובת בעל דירה לפי</w:t>
      </w:r>
      <w:r>
        <w:rPr>
          <w:rFonts w:hint="cs"/>
          <w:rtl/>
        </w:rPr>
        <w:t xml:space="preserve"> סעיף 58(א) לחוק המקרקעין, מצויה בסמכותו של המפקח על רישום מקרקעין, ומשכך מתקיים </w:t>
      </w:r>
      <w:r w:rsidR="00FD04C2">
        <w:rPr>
          <w:rFonts w:hint="cs"/>
          <w:rtl/>
        </w:rPr>
        <w:t xml:space="preserve">בענייננו </w:t>
      </w:r>
      <w:r>
        <w:rPr>
          <w:rFonts w:hint="cs"/>
          <w:rtl/>
        </w:rPr>
        <w:t xml:space="preserve">תנאי "מהות הסכסוך". עם זאת, לא מתקיים בענייננו תנאי "זהות הצדדים", </w:t>
      </w:r>
      <w:r w:rsidR="00443F50">
        <w:rPr>
          <w:rFonts w:hint="cs"/>
          <w:rtl/>
        </w:rPr>
        <w:t>אשר קובע כי המפקח ידון בסכסוך שהצדדים לו הם</w:t>
      </w:r>
      <w:r w:rsidR="00E0372D">
        <w:rPr>
          <w:rFonts w:hint="cs"/>
          <w:rtl/>
        </w:rPr>
        <w:t>:</w:t>
      </w:r>
      <w:r w:rsidR="00443F50">
        <w:rPr>
          <w:rFonts w:hint="cs"/>
          <w:rtl/>
        </w:rPr>
        <w:t xml:space="preserve"> בעלי דירות, </w:t>
      </w:r>
      <w:r w:rsidR="00E0372D">
        <w:rPr>
          <w:rFonts w:hint="cs"/>
          <w:rtl/>
        </w:rPr>
        <w:t>מחזיק דירה מטעם בעל הדירה, מתחזק ו</w:t>
      </w:r>
      <w:r w:rsidR="00443F50">
        <w:rPr>
          <w:rFonts w:hint="cs"/>
          <w:rtl/>
        </w:rPr>
        <w:t>נציגות הבית המשותף</w:t>
      </w:r>
      <w:r w:rsidR="00E0372D">
        <w:rPr>
          <w:rFonts w:hint="cs"/>
          <w:rtl/>
        </w:rPr>
        <w:t>.</w:t>
      </w:r>
      <w:r w:rsidR="00443F50">
        <w:rPr>
          <w:rFonts w:hint="cs"/>
          <w:rtl/>
        </w:rPr>
        <w:t xml:space="preserve"> </w:t>
      </w:r>
      <w:r w:rsidR="00E0372D">
        <w:rPr>
          <w:rFonts w:hint="cs"/>
          <w:rtl/>
        </w:rPr>
        <w:t xml:space="preserve">בענייננו התובעת </w:t>
      </w:r>
      <w:r>
        <w:rPr>
          <w:rFonts w:hint="cs"/>
          <w:rtl/>
        </w:rPr>
        <w:t xml:space="preserve">לא הוכיחה את מעמדה כ"מתחזק", </w:t>
      </w:r>
      <w:r w:rsidR="00E0372D">
        <w:rPr>
          <w:rFonts w:hint="cs"/>
          <w:rtl/>
        </w:rPr>
        <w:t xml:space="preserve">ועובדת היותה בעל דירה אינה רלוונטית לתביעה זו; כמו </w:t>
      </w:r>
      <w:r>
        <w:rPr>
          <w:rFonts w:hint="cs"/>
          <w:rtl/>
        </w:rPr>
        <w:t>כן</w:t>
      </w:r>
      <w:r w:rsidR="00E0372D">
        <w:rPr>
          <w:rFonts w:hint="cs"/>
          <w:rtl/>
        </w:rPr>
        <w:t>,</w:t>
      </w:r>
      <w:r>
        <w:rPr>
          <w:rFonts w:hint="cs"/>
          <w:rtl/>
        </w:rPr>
        <w:t xml:space="preserve"> הנתבעת אינה עוד בעלת דירה בבית המשותף.</w:t>
      </w:r>
    </w:p>
    <w:p w14:paraId="2B61B50C" w14:textId="73A91C5F" w:rsidR="00825E24" w:rsidRDefault="00CE2359" w:rsidP="008B534E">
      <w:pPr>
        <w:pStyle w:val="ac"/>
        <w:numPr>
          <w:ilvl w:val="0"/>
          <w:numId w:val="15"/>
        </w:numPr>
        <w:spacing w:before="100" w:beforeAutospacing="1" w:after="240" w:line="360" w:lineRule="auto"/>
        <w:contextualSpacing w:val="0"/>
        <w:jc w:val="both"/>
      </w:pPr>
      <w:r>
        <w:rPr>
          <w:rFonts w:hint="cs"/>
          <w:rtl/>
        </w:rPr>
        <w:t>אפרט את עמדתי.</w:t>
      </w:r>
    </w:p>
    <w:p w14:paraId="56D60EA8" w14:textId="5FF5B300" w:rsidR="00825E24" w:rsidRPr="00825E24" w:rsidRDefault="00825E24" w:rsidP="009266B5">
      <w:pPr>
        <w:spacing w:before="100" w:beforeAutospacing="1" w:after="240" w:line="360" w:lineRule="auto"/>
        <w:contextualSpacing w:val="0"/>
        <w:jc w:val="both"/>
        <w:outlineLvl w:val="1"/>
        <w:rPr>
          <w:b/>
          <w:bCs/>
          <w:u w:val="single"/>
        </w:rPr>
      </w:pPr>
      <w:r>
        <w:rPr>
          <w:rFonts w:hint="cs"/>
          <w:b/>
          <w:bCs/>
          <w:u w:val="single"/>
          <w:rtl/>
        </w:rPr>
        <w:t>לא עלה בידי התובעת להוכיח את מעמדה כמתחזק</w:t>
      </w:r>
    </w:p>
    <w:p w14:paraId="3D7EEFBB" w14:textId="7C0B944F" w:rsidR="00825E24" w:rsidRDefault="0068119F" w:rsidP="008B534E">
      <w:pPr>
        <w:pStyle w:val="ac"/>
        <w:numPr>
          <w:ilvl w:val="0"/>
          <w:numId w:val="15"/>
        </w:numPr>
        <w:spacing w:before="100" w:beforeAutospacing="1" w:after="240" w:line="360" w:lineRule="auto"/>
        <w:contextualSpacing w:val="0"/>
        <w:jc w:val="both"/>
      </w:pPr>
      <w:r>
        <w:rPr>
          <w:rFonts w:hint="cs"/>
          <w:rtl/>
        </w:rPr>
        <w:t>בהתאם להוראות סעיף 71(ב)(1) לחוק המקרקעין ישנן שתי דרכים למינוי מתחזק: (1) הוראה בתקנון; (2)</w:t>
      </w:r>
      <w:r>
        <w:rPr>
          <w:rFonts w:hint="cs"/>
        </w:rPr>
        <w:t xml:space="preserve"> </w:t>
      </w:r>
      <w:r>
        <w:rPr>
          <w:rFonts w:hint="cs"/>
          <w:rtl/>
        </w:rPr>
        <w:t xml:space="preserve">החלטה של רוב של בעלי הדירות, ששני שלישים של הרכוש המשותף צמודים לדירותיהם; בפסיקה נקבע כי ישנה דרך נוספת למינוי מתחזק: (3) הוראה בחוזי ניהול פרטניים שנחתמו עם בעלי הדירות במסגרת חתימתם על הסכמי המכר (ראו: עניין </w:t>
      </w:r>
      <w:r>
        <w:rPr>
          <w:rFonts w:hint="cs"/>
          <w:b/>
          <w:bCs/>
          <w:rtl/>
        </w:rPr>
        <w:t>ל</w:t>
      </w:r>
      <w:r w:rsidR="00FD04C2">
        <w:rPr>
          <w:rFonts w:hint="cs"/>
          <w:b/>
          <w:bCs/>
          <w:rtl/>
        </w:rPr>
        <w:t>ב</w:t>
      </w:r>
      <w:r>
        <w:rPr>
          <w:rFonts w:hint="cs"/>
          <w:b/>
          <w:bCs/>
          <w:rtl/>
        </w:rPr>
        <w:t xml:space="preserve"> כרמ</w:t>
      </w:r>
      <w:r w:rsidR="00FD04C2">
        <w:rPr>
          <w:rFonts w:hint="cs"/>
          <w:b/>
          <w:bCs/>
          <w:rtl/>
        </w:rPr>
        <w:t>יא</w:t>
      </w:r>
      <w:r>
        <w:rPr>
          <w:rFonts w:hint="cs"/>
          <w:b/>
          <w:bCs/>
          <w:rtl/>
        </w:rPr>
        <w:t>ל</w:t>
      </w:r>
      <w:r>
        <w:rPr>
          <w:rFonts w:hint="cs"/>
          <w:rtl/>
        </w:rPr>
        <w:t xml:space="preserve">, פסקה 19; לדיון מעמיק וממצה בדבר הדרכים למינוי מתחזק ראו: </w:t>
      </w:r>
      <w:r w:rsidR="00443F50" w:rsidRPr="00443F50">
        <w:rPr>
          <w:rtl/>
        </w:rPr>
        <w:t xml:space="preserve">(המפקח על המקרקעין נצרת) 163/24 </w:t>
      </w:r>
      <w:r w:rsidR="00443F50" w:rsidRPr="00443F50">
        <w:rPr>
          <w:b/>
          <w:bCs/>
          <w:rtl/>
        </w:rPr>
        <w:t xml:space="preserve">השתתפויות בנכסים בישראל בע"מ נ' ניהול היצירה 13 </w:t>
      </w:r>
      <w:proofErr w:type="spellStart"/>
      <w:r w:rsidR="00443F50" w:rsidRPr="00443F50">
        <w:rPr>
          <w:b/>
          <w:bCs/>
          <w:rtl/>
        </w:rPr>
        <w:t>יקנעם</w:t>
      </w:r>
      <w:proofErr w:type="spellEnd"/>
      <w:r w:rsidR="00443F50" w:rsidRPr="00443F50">
        <w:rPr>
          <w:b/>
          <w:bCs/>
          <w:rtl/>
        </w:rPr>
        <w:t xml:space="preserve"> בע"מ</w:t>
      </w:r>
      <w:r w:rsidR="00443F50">
        <w:rPr>
          <w:rFonts w:hint="cs"/>
          <w:rtl/>
        </w:rPr>
        <w:t>, פסקאות 35-6</w:t>
      </w:r>
      <w:r w:rsidR="00443F50" w:rsidRPr="00443F50">
        <w:rPr>
          <w:rtl/>
        </w:rPr>
        <w:t xml:space="preserve"> (6.3.2025)</w:t>
      </w:r>
      <w:r w:rsidR="00507D6F">
        <w:rPr>
          <w:rFonts w:hint="cs"/>
          <w:rtl/>
        </w:rPr>
        <w:t xml:space="preserve"> (להלן: "</w:t>
      </w:r>
      <w:r w:rsidR="00507D6F">
        <w:rPr>
          <w:rFonts w:hint="cs"/>
          <w:b/>
          <w:bCs/>
          <w:rtl/>
        </w:rPr>
        <w:t>עניין השתתפויות בנכסים</w:t>
      </w:r>
      <w:r w:rsidR="00507D6F">
        <w:rPr>
          <w:rFonts w:hint="cs"/>
          <w:rtl/>
        </w:rPr>
        <w:t>")</w:t>
      </w:r>
      <w:r w:rsidR="00443F50">
        <w:rPr>
          <w:rFonts w:hint="cs"/>
          <w:rtl/>
        </w:rPr>
        <w:t>).</w:t>
      </w:r>
    </w:p>
    <w:p w14:paraId="054E2EE1" w14:textId="79888C95" w:rsidR="00443F50" w:rsidRDefault="00443F50" w:rsidP="008B534E">
      <w:pPr>
        <w:pStyle w:val="ac"/>
        <w:numPr>
          <w:ilvl w:val="0"/>
          <w:numId w:val="15"/>
        </w:numPr>
        <w:spacing w:before="100" w:beforeAutospacing="1" w:after="240" w:line="360" w:lineRule="auto"/>
        <w:contextualSpacing w:val="0"/>
        <w:jc w:val="both"/>
      </w:pPr>
      <w:r>
        <w:rPr>
          <w:rFonts w:hint="cs"/>
          <w:rtl/>
        </w:rPr>
        <w:t xml:space="preserve">עיון בתגובת התובעת לעניין מעמדה כמתחזק מגלה כי התובעת אינה טוענת להתקיימות אף לא אחד מהתנאים האמורים. בפרט, לא נטען כי תקנון הבית המשותף קובע כי הבית המשותף יתקשר עם מתחזק; לא נטען כי התקבלה החלטה של רוב בעלי הדירות שבבעלותם שני שלישים מהרכוש המשותף להתקשר עם מתחזק; ולא נטען כי במסגרת הסכמי המכר חתמו בעלי הדירות על הסכמי ניהול פרטניים. </w:t>
      </w:r>
    </w:p>
    <w:p w14:paraId="068618CF" w14:textId="59E5F931" w:rsidR="00443F50" w:rsidRDefault="00443F50" w:rsidP="008B534E">
      <w:pPr>
        <w:pStyle w:val="ac"/>
        <w:numPr>
          <w:ilvl w:val="0"/>
          <w:numId w:val="15"/>
        </w:numPr>
        <w:spacing w:before="100" w:beforeAutospacing="1" w:after="240" w:line="360" w:lineRule="auto"/>
        <w:contextualSpacing w:val="0"/>
        <w:jc w:val="both"/>
      </w:pPr>
      <w:r>
        <w:rPr>
          <w:rFonts w:hint="cs"/>
          <w:rtl/>
        </w:rPr>
        <w:t>בעניין זה אציין כי תגובת התובעת לא נתמכה בתצהיר, ודי בכך כדי לדחות את הטענות העובדתיות שנטענו בה</w:t>
      </w:r>
      <w:r w:rsidR="00FD04C2">
        <w:rPr>
          <w:rFonts w:hint="cs"/>
          <w:rtl/>
        </w:rPr>
        <w:t xml:space="preserve">. למעלה מהצורך אציין כי יש לדחות את האמור בתגובת התובעת גם </w:t>
      </w:r>
      <w:r w:rsidR="00FD04C2">
        <w:rPr>
          <w:rFonts w:hint="cs"/>
          <w:rtl/>
        </w:rPr>
        <w:lastRenderedPageBreak/>
        <w:t>לגופם של דברים.</w:t>
      </w:r>
      <w:r>
        <w:rPr>
          <w:rFonts w:hint="cs"/>
          <w:rtl/>
        </w:rPr>
        <w:t xml:space="preserve"> כך, הטענה כי בתחילה התקשרה התובעת עם נציגות הבית המשותף והיזם מוכיחה כי מדובר בהתקשרות שלא על-פי הוראות סעיף 71(ב) לחוק המקרקעין. בפרט, ההתקשרות לא נעשתה עם רוב בעלי הדירות, וההתקשרות לא נעשתה עם בעלי דירות ששני שלישים מהרכוש המשותף צמודים לדירתם. גם הטענה בדבר ההחלטה לצאת למכרז בשנת 2017 אינה מסייעת לתובעת, שעה שלא הוצגה ההחלטה עצמה, ולא נטען כי הוחלט שם ברוב הדרוש על התקשרות עם מתחזק. בעניין זה אציין כי מהסכם הניהול שנכרת ביום 1.11.2017 בין התובעת לנציגות הבית המשותף לא עולה כי מדובר בהתקשרות עם מתחזק, אלא כי מדובר בהתקשרות עם חברת ניהול. </w:t>
      </w:r>
    </w:p>
    <w:p w14:paraId="0B18361B" w14:textId="5184786F" w:rsidR="00E0372D" w:rsidRDefault="00E0372D" w:rsidP="008B534E">
      <w:pPr>
        <w:pStyle w:val="ac"/>
        <w:numPr>
          <w:ilvl w:val="0"/>
          <w:numId w:val="15"/>
        </w:numPr>
        <w:spacing w:before="100" w:beforeAutospacing="1" w:after="240" w:line="360" w:lineRule="auto"/>
        <w:contextualSpacing w:val="0"/>
        <w:jc w:val="both"/>
      </w:pPr>
      <w:r>
        <w:rPr>
          <w:rFonts w:hint="cs"/>
          <w:rtl/>
        </w:rPr>
        <w:t xml:space="preserve">כללם של דברים: לא עלה בידי התובעת להוכיח כי </w:t>
      </w:r>
      <w:r w:rsidR="00FD04C2">
        <w:rPr>
          <w:rFonts w:hint="cs"/>
          <w:rtl/>
        </w:rPr>
        <w:t>היא מונתה כמתחזק בהתאם להוראות הדין והפסיקה, ומשכך יש לקבוע כי היא אינה מתחזק.</w:t>
      </w:r>
    </w:p>
    <w:p w14:paraId="3306E62B" w14:textId="775115D1" w:rsidR="00E0372D" w:rsidRPr="00E0372D" w:rsidRDefault="00E0372D" w:rsidP="009266B5">
      <w:pPr>
        <w:spacing w:before="100" w:beforeAutospacing="1" w:after="240" w:line="360" w:lineRule="auto"/>
        <w:contextualSpacing w:val="0"/>
        <w:jc w:val="both"/>
        <w:outlineLvl w:val="1"/>
        <w:rPr>
          <w:b/>
          <w:bCs/>
          <w:u w:val="single"/>
        </w:rPr>
      </w:pPr>
      <w:r>
        <w:rPr>
          <w:rFonts w:hint="cs"/>
          <w:b/>
          <w:bCs/>
          <w:u w:val="single"/>
          <w:rtl/>
        </w:rPr>
        <w:t>אין רלוונטיות לעובדת היותה של התובעת בעלת דירה בבית המשותף</w:t>
      </w:r>
    </w:p>
    <w:p w14:paraId="499EDF11" w14:textId="176CFF9C" w:rsidR="00E0372D" w:rsidRDefault="00E0372D" w:rsidP="008B534E">
      <w:pPr>
        <w:pStyle w:val="ac"/>
        <w:numPr>
          <w:ilvl w:val="0"/>
          <w:numId w:val="15"/>
        </w:numPr>
        <w:spacing w:before="100" w:beforeAutospacing="1" w:after="240" w:line="360" w:lineRule="auto"/>
        <w:contextualSpacing w:val="0"/>
        <w:jc w:val="both"/>
      </w:pPr>
      <w:r>
        <w:rPr>
          <w:rFonts w:hint="cs"/>
          <w:rtl/>
        </w:rPr>
        <w:t xml:space="preserve">התובעת ציינה, בחצי פה, כי היא בעלת הזכויות בשתי דירות בבית המשותף. הדברים לא נאמרו בצורה ברורה, אבל נראה כי בכך מבקשת התובעת לקנות סמכות לדון בפני המפקח, אשר מוסמך לדון בסכסוך בין בעלי דירות בבית המשותף. </w:t>
      </w:r>
    </w:p>
    <w:p w14:paraId="66DC34E3" w14:textId="59EF4BDC" w:rsidR="00E0372D" w:rsidRDefault="00E0372D" w:rsidP="00537B3C">
      <w:pPr>
        <w:pStyle w:val="ac"/>
        <w:numPr>
          <w:ilvl w:val="0"/>
          <w:numId w:val="15"/>
        </w:numPr>
        <w:spacing w:before="100" w:beforeAutospacing="1" w:after="240" w:line="360" w:lineRule="auto"/>
        <w:contextualSpacing w:val="0"/>
        <w:jc w:val="both"/>
      </w:pPr>
      <w:r>
        <w:rPr>
          <w:rFonts w:hint="cs"/>
          <w:rtl/>
        </w:rPr>
        <w:t>על-אף שהדברים לא נאמרו מפורשות בתגובת התובעת, יובהר כי אין בעובדה שהתובעת היא בעלת דירה בבית המשותף, כדי להקנות למפקח סמכות לדון בתביעת התובעת</w:t>
      </w:r>
      <w:r w:rsidR="00FD04C2">
        <w:rPr>
          <w:rFonts w:hint="cs"/>
          <w:rtl/>
        </w:rPr>
        <w:t>, אשר הוגשה לא בכובעה כבעלת דירה אלא</w:t>
      </w:r>
      <w:r>
        <w:rPr>
          <w:rFonts w:hint="cs"/>
          <w:rtl/>
        </w:rPr>
        <w:t xml:space="preserve"> כמתחזק</w:t>
      </w:r>
      <w:r w:rsidR="00FD04C2">
        <w:rPr>
          <w:rFonts w:hint="cs"/>
          <w:rtl/>
        </w:rPr>
        <w:t>, על-אף שהיא אינה מתחזק</w:t>
      </w:r>
      <w:r>
        <w:rPr>
          <w:rFonts w:hint="cs"/>
          <w:rtl/>
        </w:rPr>
        <w:t xml:space="preserve">. </w:t>
      </w:r>
      <w:r w:rsidR="00507D6F">
        <w:rPr>
          <w:rFonts w:hint="cs"/>
          <w:rtl/>
        </w:rPr>
        <w:t>קביעה אחרת תוביל למצב בו התובעת, שלא נבחרה כדין לכהן כמתחזק</w:t>
      </w:r>
      <w:r w:rsidR="00FD04C2">
        <w:rPr>
          <w:rFonts w:hint="cs"/>
          <w:rtl/>
        </w:rPr>
        <w:t>, תיהנה בפועל ממעמד של מתחזק</w:t>
      </w:r>
      <w:r w:rsidR="000F3601">
        <w:rPr>
          <w:rFonts w:hint="cs"/>
          <w:rtl/>
        </w:rPr>
        <w:t xml:space="preserve">, לעניין הזכות להגיש תביעה למפקח ולעניין הזכות לטעון לעניין סעיף 58(א) לחוק המקרקעין (ראו: סעיף 71(ג) לחוק המקרקעין). </w:t>
      </w:r>
    </w:p>
    <w:p w14:paraId="4C2F1D34" w14:textId="52266908" w:rsidR="00507D6F" w:rsidRDefault="007B61FE" w:rsidP="008B534E">
      <w:pPr>
        <w:pStyle w:val="ac"/>
        <w:numPr>
          <w:ilvl w:val="0"/>
          <w:numId w:val="15"/>
        </w:numPr>
        <w:spacing w:before="100" w:beforeAutospacing="1" w:after="240" w:line="360" w:lineRule="auto"/>
        <w:contextualSpacing w:val="0"/>
        <w:jc w:val="both"/>
      </w:pPr>
      <w:r>
        <w:rPr>
          <w:rFonts w:hint="cs"/>
          <w:rtl/>
        </w:rPr>
        <w:t xml:space="preserve">בחירת המחוקק </w:t>
      </w:r>
      <w:r w:rsidR="00507D6F">
        <w:rPr>
          <w:rFonts w:hint="cs"/>
          <w:rtl/>
        </w:rPr>
        <w:t>להטיל מגבלות על האפשרות להתקשר עם מתחזק</w:t>
      </w:r>
      <w:r>
        <w:rPr>
          <w:rFonts w:hint="cs"/>
          <w:rtl/>
        </w:rPr>
        <w:t xml:space="preserve"> לא נעשתה בכדי, והיא נועדה להגן על זכויותיהם של בעלי הדירות</w:t>
      </w:r>
      <w:r w:rsidR="00507D6F">
        <w:rPr>
          <w:rFonts w:hint="cs"/>
          <w:rtl/>
        </w:rPr>
        <w:t xml:space="preserve">. יפים לעניין זה דברי כב' המפקחת </w:t>
      </w:r>
      <w:r w:rsidR="00507D6F">
        <w:rPr>
          <w:rFonts w:hint="cs"/>
          <w:b/>
          <w:bCs/>
          <w:rtl/>
        </w:rPr>
        <w:t xml:space="preserve">ע' מידן-בלום </w:t>
      </w:r>
      <w:r w:rsidR="00507D6F">
        <w:rPr>
          <w:rFonts w:hint="cs"/>
          <w:rtl/>
        </w:rPr>
        <w:t xml:space="preserve">בעניין </w:t>
      </w:r>
      <w:r w:rsidR="00507D6F">
        <w:rPr>
          <w:rFonts w:hint="cs"/>
          <w:b/>
          <w:bCs/>
          <w:rtl/>
        </w:rPr>
        <w:t>השתתפויות בנכסים</w:t>
      </w:r>
      <w:r w:rsidR="00507D6F">
        <w:rPr>
          <w:rFonts w:hint="cs"/>
          <w:rtl/>
        </w:rPr>
        <w:t>, פסקה 31:</w:t>
      </w:r>
    </w:p>
    <w:p w14:paraId="4A16B089" w14:textId="22787CAB" w:rsidR="00507D6F" w:rsidRPr="00507D6F" w:rsidRDefault="00507D6F" w:rsidP="008B534E">
      <w:pPr>
        <w:pStyle w:val="ae"/>
        <w:spacing w:before="100" w:beforeAutospacing="1" w:after="240" w:line="360" w:lineRule="auto"/>
        <w:contextualSpacing w:val="0"/>
        <w:jc w:val="both"/>
        <w:rPr>
          <w:i w:val="0"/>
          <w:iCs w:val="0"/>
          <w:color w:val="auto"/>
          <w:rtl/>
        </w:rPr>
      </w:pPr>
      <w:r>
        <w:rPr>
          <w:rFonts w:hint="cs"/>
          <w:i w:val="0"/>
          <w:iCs w:val="0"/>
          <w:color w:val="auto"/>
          <w:rtl/>
        </w:rPr>
        <w:t>"</w:t>
      </w:r>
      <w:r w:rsidRPr="00507D6F">
        <w:rPr>
          <w:rFonts w:hint="cs"/>
          <w:i w:val="0"/>
          <w:iCs w:val="0"/>
          <w:color w:val="auto"/>
          <w:rtl/>
        </w:rPr>
        <w:t xml:space="preserve">לא בכדי קבע המחוקק כי לצורך מינוי "מתחזק" נדרש רוב מיוחס, </w:t>
      </w:r>
      <w:r w:rsidRPr="00507D6F">
        <w:rPr>
          <w:i w:val="0"/>
          <w:iCs w:val="0"/>
          <w:color w:val="auto"/>
          <w:rtl/>
        </w:rPr>
        <w:t xml:space="preserve">ואף הוטלה חובת גילוי על </w:t>
      </w:r>
      <w:r w:rsidRPr="00507D6F">
        <w:rPr>
          <w:rFonts w:hint="cs"/>
          <w:i w:val="0"/>
          <w:iCs w:val="0"/>
          <w:color w:val="auto"/>
          <w:rtl/>
        </w:rPr>
        <w:t>מוכר דירה</w:t>
      </w:r>
      <w:r w:rsidRPr="00507D6F">
        <w:rPr>
          <w:i w:val="0"/>
          <w:iCs w:val="0"/>
          <w:color w:val="auto"/>
          <w:rtl/>
        </w:rPr>
        <w:t xml:space="preserve"> בחוק המכר (דירות)</w:t>
      </w:r>
      <w:r w:rsidRPr="00507D6F">
        <w:rPr>
          <w:rFonts w:hint="cs"/>
          <w:i w:val="0"/>
          <w:iCs w:val="0"/>
          <w:color w:val="auto"/>
          <w:rtl/>
        </w:rPr>
        <w:t>;</w:t>
      </w:r>
      <w:r w:rsidRPr="00507D6F">
        <w:rPr>
          <w:i w:val="0"/>
          <w:iCs w:val="0"/>
          <w:color w:val="auto"/>
          <w:rtl/>
        </w:rPr>
        <w:t xml:space="preserve"> </w:t>
      </w:r>
      <w:r w:rsidRPr="00507D6F">
        <w:rPr>
          <w:rFonts w:hint="cs"/>
          <w:i w:val="0"/>
          <w:iCs w:val="0"/>
          <w:color w:val="auto"/>
          <w:rtl/>
        </w:rPr>
        <w:t xml:space="preserve">"משוכות" אלו </w:t>
      </w:r>
      <w:r w:rsidRPr="00507D6F">
        <w:rPr>
          <w:i w:val="0"/>
          <w:iCs w:val="0"/>
          <w:color w:val="auto"/>
          <w:rtl/>
        </w:rPr>
        <w:t>נועד</w:t>
      </w:r>
      <w:r w:rsidRPr="00507D6F">
        <w:rPr>
          <w:rFonts w:hint="cs"/>
          <w:i w:val="0"/>
          <w:iCs w:val="0"/>
          <w:color w:val="auto"/>
          <w:rtl/>
        </w:rPr>
        <w:t>ו</w:t>
      </w:r>
      <w:r w:rsidRPr="00507D6F">
        <w:rPr>
          <w:i w:val="0"/>
          <w:iCs w:val="0"/>
          <w:color w:val="auto"/>
          <w:rtl/>
        </w:rPr>
        <w:t xml:space="preserve"> להגן על זכויותיהם הקנייניו</w:t>
      </w:r>
      <w:r w:rsidRPr="00507D6F">
        <w:rPr>
          <w:rFonts w:hint="cs"/>
          <w:i w:val="0"/>
          <w:iCs w:val="0"/>
          <w:color w:val="auto"/>
          <w:rtl/>
        </w:rPr>
        <w:t>ת של בעלי הדירות, ביחס להחלטה להכניס "שחקן זר" לתוך הבית המשותף. על השלכותיה של החלטה זו אפנה לדברים שנאמרו ב</w:t>
      </w:r>
      <w:r w:rsidRPr="00507D6F">
        <w:rPr>
          <w:i w:val="0"/>
          <w:iCs w:val="0"/>
          <w:color w:val="auto"/>
          <w:rtl/>
        </w:rPr>
        <w:t xml:space="preserve">פסק דין (המפקח על המקרקעין באר שבע) 58/11 </w:t>
      </w:r>
      <w:proofErr w:type="spellStart"/>
      <w:r w:rsidRPr="00507D6F">
        <w:rPr>
          <w:b/>
          <w:bCs/>
          <w:i w:val="0"/>
          <w:iCs w:val="0"/>
          <w:color w:val="auto"/>
          <w:rtl/>
        </w:rPr>
        <w:t>א.ד.מ.ש</w:t>
      </w:r>
      <w:proofErr w:type="spellEnd"/>
      <w:r w:rsidRPr="00507D6F">
        <w:rPr>
          <w:b/>
          <w:bCs/>
          <w:i w:val="0"/>
          <w:iCs w:val="0"/>
          <w:color w:val="auto"/>
          <w:rtl/>
        </w:rPr>
        <w:t xml:space="preserve"> אחזקות וניהול בע"מ נ' שמרדן חברה </w:t>
      </w:r>
      <w:proofErr w:type="spellStart"/>
      <w:r w:rsidRPr="00507D6F">
        <w:rPr>
          <w:b/>
          <w:bCs/>
          <w:i w:val="0"/>
          <w:iCs w:val="0"/>
          <w:color w:val="auto"/>
          <w:rtl/>
        </w:rPr>
        <w:t>לבנין</w:t>
      </w:r>
      <w:proofErr w:type="spellEnd"/>
      <w:r w:rsidRPr="00507D6F">
        <w:rPr>
          <w:b/>
          <w:bCs/>
          <w:i w:val="0"/>
          <w:iCs w:val="0"/>
          <w:color w:val="auto"/>
          <w:rtl/>
        </w:rPr>
        <w:t xml:space="preserve"> והשקעות בע"מ </w:t>
      </w:r>
      <w:r w:rsidRPr="00507D6F">
        <w:rPr>
          <w:rFonts w:hint="cs"/>
          <w:i w:val="0"/>
          <w:iCs w:val="0"/>
          <w:color w:val="auto"/>
          <w:rtl/>
        </w:rPr>
        <w:t xml:space="preserve">(11.11.2013) </w:t>
      </w:r>
      <w:r w:rsidRPr="00507D6F">
        <w:rPr>
          <w:i w:val="0"/>
          <w:iCs w:val="0"/>
          <w:color w:val="auto"/>
          <w:rtl/>
        </w:rPr>
        <w:t>(</w:t>
      </w:r>
      <w:r w:rsidRPr="00507D6F">
        <w:rPr>
          <w:rFonts w:hint="cs"/>
          <w:i w:val="0"/>
          <w:iCs w:val="0"/>
          <w:color w:val="auto"/>
          <w:rtl/>
        </w:rPr>
        <w:t>לא פורסם):</w:t>
      </w:r>
    </w:p>
    <w:p w14:paraId="637F514F" w14:textId="77777777" w:rsidR="00507D6F" w:rsidRPr="00507D6F" w:rsidRDefault="00507D6F" w:rsidP="008B534E">
      <w:pPr>
        <w:pStyle w:val="ae"/>
        <w:spacing w:before="100" w:beforeAutospacing="1" w:after="240" w:line="360" w:lineRule="auto"/>
        <w:ind w:left="1440"/>
        <w:contextualSpacing w:val="0"/>
        <w:jc w:val="both"/>
        <w:rPr>
          <w:i w:val="0"/>
          <w:iCs w:val="0"/>
          <w:color w:val="auto"/>
          <w:spacing w:val="10"/>
        </w:rPr>
      </w:pPr>
      <w:r w:rsidRPr="00507D6F">
        <w:rPr>
          <w:i w:val="0"/>
          <w:iCs w:val="0"/>
          <w:color w:val="auto"/>
          <w:rtl/>
        </w:rPr>
        <w:lastRenderedPageBreak/>
        <w:t>"</w:t>
      </w:r>
      <w:r w:rsidRPr="00507D6F">
        <w:rPr>
          <w:b/>
          <w:bCs/>
          <w:i w:val="0"/>
          <w:iCs w:val="0"/>
          <w:color w:val="auto"/>
          <w:rtl/>
        </w:rPr>
        <w:t>כפי שעולה מהוראות החוק</w:t>
      </w:r>
      <w:r w:rsidRPr="00507D6F">
        <w:rPr>
          <w:i w:val="0"/>
          <w:iCs w:val="0"/>
          <w:color w:val="auto"/>
          <w:rtl/>
        </w:rPr>
        <w:t xml:space="preserve"> </w:t>
      </w:r>
      <w:r w:rsidRPr="00507D6F">
        <w:rPr>
          <w:b/>
          <w:bCs/>
          <w:i w:val="0"/>
          <w:iCs w:val="0"/>
          <w:color w:val="auto"/>
          <w:rtl/>
        </w:rPr>
        <w:t>ומדברי ההסבר לו, בחירת מתחזק לבית המשותף אינה עניין של מה בכך, ונקבע</w:t>
      </w:r>
      <w:r w:rsidRPr="00507D6F">
        <w:rPr>
          <w:rFonts w:hint="cs"/>
          <w:b/>
          <w:bCs/>
          <w:i w:val="0"/>
          <w:iCs w:val="0"/>
          <w:color w:val="auto"/>
          <w:rtl/>
        </w:rPr>
        <w:t>ו</w:t>
      </w:r>
      <w:r w:rsidRPr="00507D6F">
        <w:rPr>
          <w:b/>
          <w:bCs/>
          <w:i w:val="0"/>
          <w:iCs w:val="0"/>
          <w:color w:val="auto"/>
          <w:rtl/>
        </w:rPr>
        <w:t xml:space="preserve"> כללים מיוחדים לבחירתו. הטעם לכך ברור – קביעת מתחזק לבית משותף, מביא</w:t>
      </w:r>
      <w:r w:rsidRPr="00507D6F">
        <w:rPr>
          <w:rFonts w:hint="cs"/>
          <w:b/>
          <w:bCs/>
          <w:i w:val="0"/>
          <w:iCs w:val="0"/>
          <w:color w:val="auto"/>
          <w:rtl/>
        </w:rPr>
        <w:t>ה</w:t>
      </w:r>
      <w:r w:rsidRPr="00507D6F">
        <w:rPr>
          <w:b/>
          <w:bCs/>
          <w:i w:val="0"/>
          <w:iCs w:val="0"/>
          <w:color w:val="auto"/>
          <w:rtl/>
        </w:rPr>
        <w:t xml:space="preserve"> לכך שגוף שהינו גורם זר לבית המשותף, ינהל </w:t>
      </w:r>
      <w:r w:rsidRPr="00507D6F">
        <w:rPr>
          <w:rFonts w:hint="cs"/>
          <w:b/>
          <w:bCs/>
          <w:i w:val="0"/>
          <w:iCs w:val="0"/>
          <w:color w:val="auto"/>
          <w:rtl/>
        </w:rPr>
        <w:t xml:space="preserve">אותו וייקבע </w:t>
      </w:r>
      <w:r w:rsidRPr="00507D6F">
        <w:rPr>
          <w:b/>
          <w:bCs/>
          <w:i w:val="0"/>
          <w:iCs w:val="0"/>
          <w:color w:val="auto"/>
          <w:rtl/>
        </w:rPr>
        <w:t xml:space="preserve">את סדריו. למעשה, לגורם שנבחר כמתחזק, מוענקות סמכויות בסיסיות המשיקות לא מעט לסמכויותיה של הנציגות, ובכך הופך המתחזק לחלק מאושיות הבית המשותף. בתוך כך, המתחזק רשאי לנקוט </w:t>
      </w:r>
      <w:r w:rsidRPr="00507D6F">
        <w:rPr>
          <w:rFonts w:hint="cs"/>
          <w:b/>
          <w:bCs/>
          <w:i w:val="0"/>
          <w:iCs w:val="0"/>
          <w:color w:val="auto"/>
          <w:rtl/>
        </w:rPr>
        <w:t>ב</w:t>
      </w:r>
      <w:r w:rsidRPr="00507D6F">
        <w:rPr>
          <w:b/>
          <w:bCs/>
          <w:i w:val="0"/>
          <w:iCs w:val="0"/>
          <w:color w:val="auto"/>
          <w:rtl/>
        </w:rPr>
        <w:t xml:space="preserve">הליכים משפטיים כנגד בעלי הדירות </w:t>
      </w:r>
      <w:proofErr w:type="spellStart"/>
      <w:r w:rsidRPr="00507D6F">
        <w:rPr>
          <w:b/>
          <w:bCs/>
          <w:i w:val="0"/>
          <w:iCs w:val="0"/>
          <w:color w:val="auto"/>
          <w:rtl/>
        </w:rPr>
        <w:t>מכח</w:t>
      </w:r>
      <w:proofErr w:type="spellEnd"/>
      <w:r w:rsidRPr="00507D6F">
        <w:rPr>
          <w:b/>
          <w:bCs/>
          <w:i w:val="0"/>
          <w:iCs w:val="0"/>
          <w:color w:val="auto"/>
          <w:rtl/>
        </w:rPr>
        <w:t xml:space="preserve"> תפקידו בבית המשותף, וזאת ללא קשר לעילות חוזיות כאלה ואחרות שיש לו כנגד בעל </w:t>
      </w:r>
      <w:r w:rsidRPr="00507D6F">
        <w:rPr>
          <w:rFonts w:hint="cs"/>
          <w:b/>
          <w:bCs/>
          <w:i w:val="0"/>
          <w:iCs w:val="0"/>
          <w:color w:val="auto"/>
          <w:rtl/>
        </w:rPr>
        <w:t>ה</w:t>
      </w:r>
      <w:r w:rsidRPr="00507D6F">
        <w:rPr>
          <w:b/>
          <w:bCs/>
          <w:i w:val="0"/>
          <w:iCs w:val="0"/>
          <w:color w:val="auto"/>
          <w:rtl/>
        </w:rPr>
        <w:t>דירה, ואף אם אין בינו לבין בעל הדירה חוזה כלשהו</w:t>
      </w:r>
      <w:r w:rsidRPr="00507D6F">
        <w:rPr>
          <w:rFonts w:hint="cs"/>
          <w:i w:val="0"/>
          <w:iCs w:val="0"/>
          <w:color w:val="auto"/>
          <w:spacing w:val="10"/>
          <w:rtl/>
        </w:rPr>
        <w:t>...</w:t>
      </w:r>
    </w:p>
    <w:p w14:paraId="20BF3785" w14:textId="265F1FDD" w:rsidR="00507D6F" w:rsidRPr="00507D6F" w:rsidRDefault="00507D6F" w:rsidP="008B534E">
      <w:pPr>
        <w:pStyle w:val="ae"/>
        <w:spacing w:before="100" w:beforeAutospacing="1" w:after="240" w:line="360" w:lineRule="auto"/>
        <w:ind w:left="1440"/>
        <w:contextualSpacing w:val="0"/>
        <w:jc w:val="both"/>
        <w:rPr>
          <w:i w:val="0"/>
          <w:iCs w:val="0"/>
          <w:color w:val="auto"/>
        </w:rPr>
      </w:pPr>
      <w:r w:rsidRPr="00507D6F">
        <w:rPr>
          <w:rFonts w:hint="cs"/>
          <w:b/>
          <w:bCs/>
          <w:i w:val="0"/>
          <w:iCs w:val="0"/>
          <w:color w:val="auto"/>
          <w:rtl/>
        </w:rPr>
        <w:t>בהינתן זאת, מובן כי בחירתו של גוף כ"מתחזק" שונה לחלוטין מבחירת חברת אחזקה או חברת ניהול, חברת אחזקה נשכרת על ידי הנציגות ליתן שירותים כאלה ואחרים בבית המשותף, אך אין היא חלק מגורמי הבית המשותף. מנגד, חברה שהוגדרה כ"מתחזק" הופכת לחלק אינטגראלי מהבית המשותף...מעמד מיוחד זה שניתן ל"מתחזק", מצדיק את קביעת ההסדרים המיוחדים שנקבעו למינויו..."</w:t>
      </w:r>
    </w:p>
    <w:p w14:paraId="7AD3408B" w14:textId="56D71C9D" w:rsidR="00507D6F" w:rsidRDefault="007B61FE" w:rsidP="008B534E">
      <w:pPr>
        <w:pStyle w:val="ac"/>
        <w:numPr>
          <w:ilvl w:val="0"/>
          <w:numId w:val="15"/>
        </w:numPr>
        <w:spacing w:before="100" w:beforeAutospacing="1" w:after="240" w:line="360" w:lineRule="auto"/>
        <w:contextualSpacing w:val="0"/>
        <w:jc w:val="both"/>
      </w:pPr>
      <w:r>
        <w:rPr>
          <w:rFonts w:hint="cs"/>
          <w:rtl/>
        </w:rPr>
        <w:t xml:space="preserve">ברי אפוא, כי לא ניתן לקבל מצב בו גורם אשר לא התמנה כמתחזק יוכל ליהנות מזכויותיו של מתחזק </w:t>
      </w:r>
      <w:r w:rsidR="000F3601">
        <w:rPr>
          <w:rFonts w:hint="cs"/>
          <w:rtl/>
        </w:rPr>
        <w:t xml:space="preserve">אך </w:t>
      </w:r>
      <w:r>
        <w:rPr>
          <w:rFonts w:hint="cs"/>
          <w:rtl/>
        </w:rPr>
        <w:t>בשל היותו בעל דירה, עובדה שאינה נוגעת כלל למעמדו כמתחזק.</w:t>
      </w:r>
    </w:p>
    <w:p w14:paraId="27D0F3D3" w14:textId="7D917730" w:rsidR="007B61FE" w:rsidRPr="007B61FE" w:rsidRDefault="007B61FE" w:rsidP="008B534E">
      <w:pPr>
        <w:spacing w:before="100" w:beforeAutospacing="1" w:after="240" w:line="360" w:lineRule="auto"/>
        <w:contextualSpacing w:val="0"/>
        <w:jc w:val="both"/>
        <w:rPr>
          <w:b/>
          <w:bCs/>
          <w:u w:val="single"/>
        </w:rPr>
      </w:pPr>
      <w:r>
        <w:rPr>
          <w:rFonts w:hint="cs"/>
          <w:b/>
          <w:bCs/>
          <w:u w:val="single"/>
          <w:rtl/>
        </w:rPr>
        <w:t>המפקח על רישום מקרקעין אינו רשאי לדון בתביעה נגד מי שלא היה בשעת הגשת התביעה בעל דירה בבית המשותף</w:t>
      </w:r>
    </w:p>
    <w:p w14:paraId="55FEC66E" w14:textId="1B8DDC67" w:rsidR="007B61FE" w:rsidRDefault="007B61FE" w:rsidP="008B534E">
      <w:pPr>
        <w:pStyle w:val="ac"/>
        <w:numPr>
          <w:ilvl w:val="0"/>
          <w:numId w:val="15"/>
        </w:numPr>
        <w:spacing w:before="100" w:beforeAutospacing="1" w:after="240" w:line="360" w:lineRule="auto"/>
        <w:contextualSpacing w:val="0"/>
        <w:jc w:val="both"/>
      </w:pPr>
      <w:r>
        <w:rPr>
          <w:rFonts w:hint="cs"/>
          <w:rtl/>
        </w:rPr>
        <w:t xml:space="preserve">כאמור, סעיף 72 לחוק המקרקעין קובע כי למפקח סמכות להכריע בסכסוך בין בעלי דירות בבית משותף. טענת התובעת היא שסמכות המפקח אינה מוגבלת לבעלי דירה בשעת הגשת התביעה דווקא, אלא היא מתפרסת לכל מי שהיה בעבר בעל דירה, ונטענת נגדו טענה בקשר עם העילות שבסמכותו של המפקח על רישום מקרקעין, ובעניינו תביעה לפי סעיף 58(א) לחוק המקרקעין. </w:t>
      </w:r>
    </w:p>
    <w:p w14:paraId="2C4D16C3" w14:textId="25BF8C0A" w:rsidR="007B61FE" w:rsidRDefault="007B61FE" w:rsidP="008B534E">
      <w:pPr>
        <w:pStyle w:val="ac"/>
        <w:numPr>
          <w:ilvl w:val="0"/>
          <w:numId w:val="15"/>
        </w:numPr>
        <w:spacing w:before="100" w:beforeAutospacing="1" w:after="240" w:line="360" w:lineRule="auto"/>
        <w:contextualSpacing w:val="0"/>
        <w:jc w:val="both"/>
      </w:pPr>
      <w:r>
        <w:rPr>
          <w:rFonts w:hint="cs"/>
          <w:rtl/>
        </w:rPr>
        <w:t xml:space="preserve">איני מקבל טענה זו. </w:t>
      </w:r>
      <w:r w:rsidR="00554894">
        <w:rPr>
          <w:rFonts w:hint="cs"/>
          <w:rtl/>
        </w:rPr>
        <w:t xml:space="preserve">ראשית, </w:t>
      </w:r>
      <w:r>
        <w:rPr>
          <w:rFonts w:hint="cs"/>
          <w:rtl/>
        </w:rPr>
        <w:t>הלשון הפשוטה של "בעל דירה" משמיעה בעל דירה בהווה, ולא  מי שהיה בעל דירה</w:t>
      </w:r>
      <w:r w:rsidR="00554894">
        <w:rPr>
          <w:rFonts w:hint="cs"/>
          <w:rtl/>
        </w:rPr>
        <w:t xml:space="preserve">. שנית, גם לו הייתי מקבל את הדעה לפיה ניתן לפרש "בעל דירה" </w:t>
      </w:r>
      <w:r w:rsidR="000F3601">
        <w:rPr>
          <w:rFonts w:hint="cs"/>
          <w:rtl/>
        </w:rPr>
        <w:t xml:space="preserve">גם כמי שהיה בעבר בעל דירה, </w:t>
      </w:r>
      <w:r w:rsidR="00554894">
        <w:rPr>
          <w:rFonts w:hint="cs"/>
          <w:rtl/>
        </w:rPr>
        <w:t xml:space="preserve">הרי שבהתאם </w:t>
      </w:r>
      <w:r w:rsidR="000F3601">
        <w:rPr>
          <w:rFonts w:hint="cs"/>
          <w:rtl/>
        </w:rPr>
        <w:t xml:space="preserve">לכללי הפרשנות מקום בו יש ספק פרשני בדבר הוראת </w:t>
      </w:r>
      <w:r w:rsidR="000F3601">
        <w:rPr>
          <w:rFonts w:hint="cs"/>
          <w:rtl/>
        </w:rPr>
        <w:lastRenderedPageBreak/>
        <w:t>דין אשר מעניקה סמכות שיפוט לגורם "חוץ שיפוטי", יש להעדיף את הפשרנות המצמצמת על זו המרחיבה</w:t>
      </w:r>
      <w:r w:rsidR="00554894">
        <w:rPr>
          <w:rFonts w:hint="cs"/>
          <w:rtl/>
        </w:rPr>
        <w:t xml:space="preserve">. יפים לעניין זה דבריו של כב' השופט </w:t>
      </w:r>
      <w:r w:rsidR="00554894">
        <w:rPr>
          <w:rFonts w:hint="cs"/>
          <w:b/>
          <w:bCs/>
          <w:rtl/>
        </w:rPr>
        <w:t xml:space="preserve">צ' </w:t>
      </w:r>
      <w:proofErr w:type="spellStart"/>
      <w:r w:rsidR="00554894">
        <w:rPr>
          <w:rFonts w:hint="cs"/>
          <w:b/>
          <w:bCs/>
          <w:rtl/>
        </w:rPr>
        <w:t>זילברטל</w:t>
      </w:r>
      <w:proofErr w:type="spellEnd"/>
      <w:r w:rsidR="00554894">
        <w:rPr>
          <w:rFonts w:hint="cs"/>
          <w:b/>
          <w:bCs/>
          <w:rtl/>
        </w:rPr>
        <w:t>:</w:t>
      </w:r>
    </w:p>
    <w:p w14:paraId="6D957038" w14:textId="77777777" w:rsidR="00554894" w:rsidRDefault="00554894" w:rsidP="008B534E">
      <w:pPr>
        <w:pStyle w:val="ae"/>
        <w:spacing w:before="100" w:beforeAutospacing="1" w:after="240" w:line="360" w:lineRule="auto"/>
        <w:contextualSpacing w:val="0"/>
        <w:jc w:val="both"/>
        <w:rPr>
          <w:i w:val="0"/>
          <w:iCs w:val="0"/>
          <w:color w:val="auto"/>
          <w:rtl/>
        </w:rPr>
      </w:pPr>
      <w:r w:rsidRPr="00554894">
        <w:rPr>
          <w:i w:val="0"/>
          <w:iCs w:val="0"/>
          <w:color w:val="auto"/>
          <w:rtl/>
        </w:rPr>
        <w:t>"</w:t>
      </w:r>
      <w:r w:rsidRPr="00554894">
        <w:rPr>
          <w:b/>
          <w:bCs/>
          <w:i w:val="0"/>
          <w:iCs w:val="0"/>
          <w:color w:val="auto"/>
          <w:rtl/>
        </w:rPr>
        <w:t>הלכה היא, כי יש לפרש בדווקנות ובצמצום הוראות חוק המסדירות סמכות ייחודית לרשות שיפוטית שמחוץ למערכת בתי המשפט הרגילים, וכי בהינתן שני פירושים אפשריים, יועדף הפירוש המצמצם את הסמכות ולא המרחיב אותה</w:t>
      </w:r>
      <w:r w:rsidRPr="00554894">
        <w:rPr>
          <w:i w:val="0"/>
          <w:iCs w:val="0"/>
          <w:color w:val="auto"/>
          <w:rtl/>
        </w:rPr>
        <w:t xml:space="preserve"> [...]. לא למותר יהיה להזכיר בהקשר זה את דבריו של הנשיא שמגר באחת הפרשות: </w:t>
      </w:r>
    </w:p>
    <w:p w14:paraId="0D370B70" w14:textId="4A06176E" w:rsidR="00554894" w:rsidRDefault="00554894" w:rsidP="008B534E">
      <w:pPr>
        <w:pStyle w:val="ae"/>
        <w:spacing w:before="100" w:beforeAutospacing="1" w:after="240" w:line="360" w:lineRule="auto"/>
        <w:ind w:left="1440"/>
        <w:contextualSpacing w:val="0"/>
        <w:jc w:val="both"/>
        <w:rPr>
          <w:i w:val="0"/>
          <w:iCs w:val="0"/>
          <w:color w:val="auto"/>
          <w:rtl/>
        </w:rPr>
      </w:pPr>
      <w:r w:rsidRPr="00554894">
        <w:rPr>
          <w:i w:val="0"/>
          <w:iCs w:val="0"/>
          <w:color w:val="auto"/>
          <w:rtl/>
        </w:rPr>
        <w:t>"הכלל הגדול הוא, כי לבתי המשפט הרגילים של המדינה מוקנית הסמכות לדון בנושאים המהותיים כחלוקתם על-פי הקווים הכלליים, שהותוו בחוק בתי המשפט, תשי"ז-1957 (כיום בחוק בתי המשפט [נוסח משולב], תשמ"ד</w:t>
      </w:r>
      <w:r>
        <w:rPr>
          <w:rFonts w:hint="cs"/>
          <w:i w:val="0"/>
          <w:iCs w:val="0"/>
          <w:color w:val="auto"/>
          <w:rtl/>
        </w:rPr>
        <w:t>-1984</w:t>
      </w:r>
      <w:r w:rsidRPr="00554894">
        <w:rPr>
          <w:i w:val="0"/>
          <w:iCs w:val="0"/>
          <w:color w:val="auto"/>
          <w:rtl/>
        </w:rPr>
        <w:t xml:space="preserve">), שקיבלו עתה גם מעמד חוקתי עקיף על-פי חוק-יסוד: השפיטה. משמע, מי שמבקש לשלול סמכותו של בית המשפט הרגיל, צריך להישען על הוראה מפורשת, כי הכלל המנחה הוא, שאין שוללים סמכותו של בית המשפט הרגיל בעניינים שהם בתחומו לפי חוק בתי המשפט [נוסח משולב], אלא אם כן נאמר הדבר מפורשות. הכלל האמור אינו נושא בתוכו אך ורק סימן היכר של עיקרון פרשני. הוא, מעבר לכך, ביטוי מובהק לשלטון החוק, אשר אחד מביטוייו בכך שאין שוללים סמכותו של בית-משפט כללי ורגיל..." (ע"א 250/83 </w:t>
      </w:r>
      <w:r w:rsidRPr="00554894">
        <w:rPr>
          <w:b/>
          <w:bCs/>
          <w:i w:val="0"/>
          <w:iCs w:val="0"/>
          <w:color w:val="auto"/>
          <w:rtl/>
        </w:rPr>
        <w:t xml:space="preserve">עומרי נ' </w:t>
      </w:r>
      <w:proofErr w:type="spellStart"/>
      <w:r w:rsidRPr="00554894">
        <w:rPr>
          <w:b/>
          <w:bCs/>
          <w:i w:val="0"/>
          <w:iCs w:val="0"/>
          <w:color w:val="auto"/>
          <w:rtl/>
        </w:rPr>
        <w:t>זועבי</w:t>
      </w:r>
      <w:proofErr w:type="spellEnd"/>
      <w:r w:rsidRPr="00554894">
        <w:rPr>
          <w:i w:val="0"/>
          <w:iCs w:val="0"/>
          <w:color w:val="auto"/>
          <w:rtl/>
        </w:rPr>
        <w:t xml:space="preserve">, פ"ד לט(2) 113, </w:t>
      </w:r>
      <w:r>
        <w:rPr>
          <w:rFonts w:hint="cs"/>
          <w:i w:val="0"/>
          <w:iCs w:val="0"/>
          <w:color w:val="auto"/>
          <w:rtl/>
        </w:rPr>
        <w:t xml:space="preserve"> </w:t>
      </w:r>
      <w:r w:rsidRPr="00554894">
        <w:rPr>
          <w:i w:val="0"/>
          <w:iCs w:val="0"/>
          <w:color w:val="auto"/>
          <w:rtl/>
        </w:rPr>
        <w:t>127</w:t>
      </w:r>
      <w:r>
        <w:rPr>
          <w:rFonts w:hint="cs"/>
          <w:i w:val="0"/>
          <w:iCs w:val="0"/>
          <w:color w:val="auto"/>
          <w:rtl/>
        </w:rPr>
        <w:t xml:space="preserve"> (1985).</w:t>
      </w:r>
      <w:r w:rsidRPr="00554894">
        <w:rPr>
          <w:i w:val="0"/>
          <w:iCs w:val="0"/>
          <w:color w:val="auto"/>
          <w:rtl/>
        </w:rPr>
        <w:t xml:space="preserve"> </w:t>
      </w:r>
    </w:p>
    <w:p w14:paraId="3168058B" w14:textId="475EDC15" w:rsidR="00554894" w:rsidRDefault="00554894" w:rsidP="008B534E">
      <w:pPr>
        <w:pStyle w:val="ae"/>
        <w:spacing w:before="100" w:beforeAutospacing="1" w:after="240" w:line="360" w:lineRule="auto"/>
        <w:contextualSpacing w:val="0"/>
        <w:jc w:val="both"/>
        <w:rPr>
          <w:i w:val="0"/>
          <w:iCs w:val="0"/>
          <w:color w:val="auto"/>
          <w:rtl/>
        </w:rPr>
      </w:pPr>
      <w:r w:rsidRPr="00554894">
        <w:rPr>
          <w:i w:val="0"/>
          <w:iCs w:val="0"/>
          <w:color w:val="auto"/>
          <w:rtl/>
        </w:rPr>
        <w:t xml:space="preserve">כאמור לעיל, דברים אלה כוונו כלפי הזהירות שיש לנקוט במתן פירוש מרחיב לסמכויות בתי דין או רשויות שיפוטיות אחרות שמחוץ למערכת בתי המשפט האזרחיים הכלליים. יחד עם זאת, ההיגיון המונח ביסודם נכון במידה רבה גם לעניין פגיעה בסמכות שיפוט של כל בית משפט בעל סמכות כללית "לטובת" בית משפט העוסק בתחום מוגדר" (ראו: בע"מ 164/11 </w:t>
      </w:r>
      <w:r w:rsidRPr="00554894">
        <w:rPr>
          <w:b/>
          <w:bCs/>
          <w:i w:val="0"/>
          <w:iCs w:val="0"/>
          <w:color w:val="auto"/>
          <w:rtl/>
        </w:rPr>
        <w:t>פלונית נ' פלוני</w:t>
      </w:r>
      <w:r w:rsidRPr="00554894">
        <w:rPr>
          <w:i w:val="0"/>
          <w:iCs w:val="0"/>
          <w:color w:val="auto"/>
          <w:rtl/>
        </w:rPr>
        <w:t xml:space="preserve">, פסקה 17 </w:t>
      </w:r>
      <w:r>
        <w:rPr>
          <w:rFonts w:hint="cs"/>
          <w:i w:val="0"/>
          <w:iCs w:val="0"/>
          <w:color w:val="auto"/>
          <w:rtl/>
        </w:rPr>
        <w:t xml:space="preserve">(29.4.2012); ההדגשה הוספה </w:t>
      </w:r>
      <w:r>
        <w:rPr>
          <w:i w:val="0"/>
          <w:iCs w:val="0"/>
          <w:color w:val="auto"/>
          <w:rtl/>
        </w:rPr>
        <w:t>–</w:t>
      </w:r>
      <w:r>
        <w:rPr>
          <w:rFonts w:hint="cs"/>
          <w:i w:val="0"/>
          <w:iCs w:val="0"/>
          <w:color w:val="auto"/>
          <w:rtl/>
        </w:rPr>
        <w:t xml:space="preserve"> ב.ל.). </w:t>
      </w:r>
    </w:p>
    <w:p w14:paraId="2348F2C7" w14:textId="13AE8751" w:rsidR="00554894" w:rsidRDefault="00554894" w:rsidP="008B534E">
      <w:pPr>
        <w:pStyle w:val="ac"/>
        <w:numPr>
          <w:ilvl w:val="0"/>
          <w:numId w:val="15"/>
        </w:numPr>
        <w:spacing w:before="100" w:beforeAutospacing="1" w:after="240" w:line="360" w:lineRule="auto"/>
        <w:contextualSpacing w:val="0"/>
        <w:jc w:val="both"/>
      </w:pPr>
      <w:r>
        <w:rPr>
          <w:rFonts w:hint="cs"/>
          <w:rtl/>
        </w:rPr>
        <w:t xml:space="preserve">בשולי הדברים אציין כי </w:t>
      </w:r>
      <w:r w:rsidR="000F3601">
        <w:rPr>
          <w:rFonts w:hint="cs"/>
          <w:rtl/>
        </w:rPr>
        <w:t xml:space="preserve">ייתכן ויש יתרון בקביעה לפיה </w:t>
      </w:r>
      <w:r w:rsidR="00F47EC6">
        <w:rPr>
          <w:rFonts w:hint="cs"/>
          <w:rtl/>
        </w:rPr>
        <w:t xml:space="preserve">המפקח על רישום מקרקעין מוסמך לדון בתביעה לפי סעיף 58(א) לחוק המקרקעין, </w:t>
      </w:r>
      <w:r w:rsidR="000F3601">
        <w:rPr>
          <w:rFonts w:hint="cs"/>
          <w:rtl/>
        </w:rPr>
        <w:t xml:space="preserve">גם </w:t>
      </w:r>
      <w:r w:rsidR="00F47EC6">
        <w:rPr>
          <w:rFonts w:hint="cs"/>
          <w:rtl/>
        </w:rPr>
        <w:t xml:space="preserve">נגד מי שהיה בעבר בעל דירה </w:t>
      </w:r>
      <w:r w:rsidR="000F3601">
        <w:rPr>
          <w:rFonts w:hint="cs"/>
          <w:rtl/>
        </w:rPr>
        <w:t>בבית המשותף</w:t>
      </w:r>
      <w:r w:rsidR="00F47EC6">
        <w:rPr>
          <w:rFonts w:hint="cs"/>
          <w:rtl/>
        </w:rPr>
        <w:t>.</w:t>
      </w:r>
      <w:r>
        <w:rPr>
          <w:rtl/>
        </w:rPr>
        <w:t xml:space="preserve"> </w:t>
      </w:r>
      <w:r w:rsidR="00F47EC6">
        <w:rPr>
          <w:rFonts w:hint="cs"/>
          <w:rtl/>
        </w:rPr>
        <w:t xml:space="preserve">זאת, </w:t>
      </w:r>
      <w:r>
        <w:rPr>
          <w:rtl/>
        </w:rPr>
        <w:t xml:space="preserve">שכן המפקח על רישום מקרקעין הוא הגורם בעל המומחיות בהכרעות בסכסוכים מעין אלה, וייתכן שרצוי להפקיד בידיו כל סכסוך בנוגע לסעיף 58(א) לחוק המקרקעין. אולם גם אם </w:t>
      </w:r>
      <w:r w:rsidR="000F3601">
        <w:rPr>
          <w:rFonts w:hint="cs"/>
          <w:rtl/>
        </w:rPr>
        <w:t>א</w:t>
      </w:r>
      <w:r>
        <w:rPr>
          <w:rtl/>
        </w:rPr>
        <w:t>ניח ש</w:t>
      </w:r>
      <w:r w:rsidR="000F3601">
        <w:rPr>
          <w:rFonts w:hint="cs"/>
          <w:rtl/>
        </w:rPr>
        <w:t>המצב הקיים</w:t>
      </w:r>
      <w:r>
        <w:rPr>
          <w:rtl/>
        </w:rPr>
        <w:t xml:space="preserve"> אינו רצוי, אין בכך כדי </w:t>
      </w:r>
      <w:r w:rsidR="00F47EC6">
        <w:rPr>
          <w:rFonts w:hint="cs"/>
          <w:rtl/>
        </w:rPr>
        <w:t xml:space="preserve">להקנות למפקח סכסוך לדון בתביעה בניגוד </w:t>
      </w:r>
      <w:r w:rsidR="00F47EC6">
        <w:rPr>
          <w:rFonts w:hint="cs"/>
          <w:rtl/>
        </w:rPr>
        <w:lastRenderedPageBreak/>
        <w:t xml:space="preserve">להוראות הדין (השוו: (המפקח על המקרקעין רחובות) 472/2023 </w:t>
      </w:r>
      <w:proofErr w:type="spellStart"/>
      <w:r w:rsidR="00F47EC6">
        <w:rPr>
          <w:rFonts w:hint="cs"/>
          <w:b/>
          <w:bCs/>
          <w:rtl/>
        </w:rPr>
        <w:t>גיגיס</w:t>
      </w:r>
      <w:proofErr w:type="spellEnd"/>
      <w:r w:rsidR="00F47EC6">
        <w:rPr>
          <w:rFonts w:hint="cs"/>
          <w:b/>
          <w:bCs/>
          <w:rtl/>
        </w:rPr>
        <w:t xml:space="preserve"> ניהול ראשל"צ בע"מ נ' שי אליאס (הארבעה) 2018 בע"</w:t>
      </w:r>
      <w:r w:rsidR="00F47EC6" w:rsidRPr="00F47EC6">
        <w:rPr>
          <w:rFonts w:hint="cs"/>
          <w:rtl/>
        </w:rPr>
        <w:t>מ</w:t>
      </w:r>
      <w:r w:rsidR="00F47EC6">
        <w:rPr>
          <w:rFonts w:hint="cs"/>
          <w:rtl/>
        </w:rPr>
        <w:t>, פסקה 45 (7.4.2025) (להלן: "</w:t>
      </w:r>
      <w:r w:rsidR="00F47EC6">
        <w:rPr>
          <w:rFonts w:hint="cs"/>
          <w:b/>
          <w:bCs/>
          <w:rtl/>
        </w:rPr>
        <w:t xml:space="preserve">עניין </w:t>
      </w:r>
      <w:proofErr w:type="spellStart"/>
      <w:r w:rsidR="00F47EC6">
        <w:rPr>
          <w:rFonts w:hint="cs"/>
          <w:b/>
          <w:bCs/>
          <w:rtl/>
        </w:rPr>
        <w:t>גיגיס</w:t>
      </w:r>
      <w:proofErr w:type="spellEnd"/>
      <w:r w:rsidR="00F47EC6">
        <w:rPr>
          <w:rFonts w:hint="cs"/>
          <w:rtl/>
        </w:rPr>
        <w:t>")</w:t>
      </w:r>
      <w:r>
        <w:rPr>
          <w:rtl/>
        </w:rPr>
        <w:t>.</w:t>
      </w:r>
    </w:p>
    <w:p w14:paraId="7A1AA678" w14:textId="3623B51F" w:rsidR="00F47EC6" w:rsidRDefault="00F47EC6" w:rsidP="008B534E">
      <w:pPr>
        <w:pStyle w:val="ac"/>
        <w:numPr>
          <w:ilvl w:val="0"/>
          <w:numId w:val="15"/>
        </w:numPr>
        <w:spacing w:before="100" w:beforeAutospacing="1" w:after="240" w:line="360" w:lineRule="auto"/>
        <w:contextualSpacing w:val="0"/>
        <w:jc w:val="both"/>
      </w:pPr>
      <w:r>
        <w:rPr>
          <w:rFonts w:hint="cs"/>
          <w:rtl/>
        </w:rPr>
        <w:t xml:space="preserve">סוף דבר </w:t>
      </w:r>
      <w:r>
        <w:rPr>
          <w:rtl/>
        </w:rPr>
        <w:t>–</w:t>
      </w:r>
      <w:r>
        <w:rPr>
          <w:rFonts w:hint="cs"/>
          <w:rtl/>
        </w:rPr>
        <w:t xml:space="preserve"> בהינתן שהתובעת אינה מתחזק ושהנתבעת אינה בעלת דירה בבית המשותף, מבחן זהות הצדדים אינו מתקיים, והמפקח על רישום מקרקעין אינו מוסמך לדון בתביעה זו. </w:t>
      </w:r>
    </w:p>
    <w:p w14:paraId="12E83EC1" w14:textId="2C28D0B1" w:rsidR="00F47EC6" w:rsidRPr="00F47EC6" w:rsidRDefault="00F47EC6" w:rsidP="009266B5">
      <w:pPr>
        <w:spacing w:before="100" w:beforeAutospacing="1" w:after="240" w:line="360" w:lineRule="auto"/>
        <w:contextualSpacing w:val="0"/>
        <w:jc w:val="both"/>
        <w:outlineLvl w:val="1"/>
        <w:rPr>
          <w:b/>
          <w:bCs/>
          <w:u w:val="single"/>
        </w:rPr>
      </w:pPr>
      <w:r>
        <w:rPr>
          <w:rFonts w:hint="cs"/>
          <w:b/>
          <w:bCs/>
          <w:u w:val="single"/>
          <w:rtl/>
        </w:rPr>
        <w:t>העברת התביעה לבית המשפט המוסמך</w:t>
      </w:r>
    </w:p>
    <w:p w14:paraId="3766C350" w14:textId="77777777" w:rsidR="00F80E87" w:rsidRDefault="00F80E87" w:rsidP="008B534E">
      <w:pPr>
        <w:pStyle w:val="ac"/>
        <w:numPr>
          <w:ilvl w:val="0"/>
          <w:numId w:val="15"/>
        </w:numPr>
        <w:spacing w:before="100" w:beforeAutospacing="1" w:after="240" w:line="360" w:lineRule="auto"/>
        <w:contextualSpacing w:val="0"/>
        <w:jc w:val="both"/>
      </w:pPr>
      <w:r>
        <w:rPr>
          <w:rFonts w:hint="cs"/>
          <w:rtl/>
        </w:rPr>
        <w:t xml:space="preserve">כפי שקבעתי בעניין </w:t>
      </w:r>
      <w:r w:rsidRPr="00F80E87">
        <w:rPr>
          <w:rFonts w:hint="cs"/>
          <w:rtl/>
        </w:rPr>
        <w:t>אחר</w:t>
      </w:r>
      <w:r>
        <w:rPr>
          <w:rFonts w:hint="cs"/>
          <w:rtl/>
        </w:rPr>
        <w:t>, בסכסוך בעניין סעיף 58(א) לחוק המקרקעין אשר לא מתקיים בו תנאי זהות הצדדים, הסמכות תיקבע בהתאם לכללי הסמכות הרגילים, ובפרט בהתאם להיקף החוב הנתבע (ראו:</w:t>
      </w:r>
      <w:r>
        <w:rPr>
          <w:rFonts w:hint="cs"/>
        </w:rPr>
        <w:t xml:space="preserve"> </w:t>
      </w:r>
      <w:r>
        <w:rPr>
          <w:rFonts w:hint="cs"/>
          <w:rtl/>
        </w:rPr>
        <w:t xml:space="preserve">עניין </w:t>
      </w:r>
      <w:proofErr w:type="spellStart"/>
      <w:r>
        <w:rPr>
          <w:rFonts w:hint="cs"/>
          <w:b/>
          <w:bCs/>
          <w:rtl/>
        </w:rPr>
        <w:t>גיגיס</w:t>
      </w:r>
      <w:proofErr w:type="spellEnd"/>
      <w:r>
        <w:rPr>
          <w:rFonts w:hint="cs"/>
          <w:rtl/>
        </w:rPr>
        <w:t xml:space="preserve">, פסקה 44). </w:t>
      </w:r>
    </w:p>
    <w:p w14:paraId="3E1B2A0D" w14:textId="2E7B6B34" w:rsidR="00F47EC6" w:rsidRDefault="00F80E87" w:rsidP="008B534E">
      <w:pPr>
        <w:pStyle w:val="ac"/>
        <w:numPr>
          <w:ilvl w:val="0"/>
          <w:numId w:val="15"/>
        </w:numPr>
        <w:spacing w:before="100" w:beforeAutospacing="1" w:after="240" w:line="360" w:lineRule="auto"/>
        <w:contextualSpacing w:val="0"/>
        <w:jc w:val="both"/>
      </w:pPr>
      <w:r>
        <w:rPr>
          <w:rFonts w:hint="cs"/>
          <w:rtl/>
        </w:rPr>
        <w:t xml:space="preserve">יובהר כי אין בהחלטתי זו כדי להביע דעה בדבר השאלה האם התובעת זכאית להגיש תביעה לפי סעיף 58(א), בהינתן שהיא אינה מתחזק, ובשים לב להוראות סעיף 71(ג) לחוק המקרקעין; כן יובהר, כי בהינתן קביעתי בדבר היעדר הסמכות העניינית לדון בתביעה, לא ראיתי לנכון להתייחס לשאר טענותיה המקדמיות של הנתבעת, ואין בכך כדי להביע דעה בדבר טענות אלה לכאן או לכאן. </w:t>
      </w:r>
    </w:p>
    <w:p w14:paraId="452093AB" w14:textId="77777777" w:rsidR="00F80E87" w:rsidRDefault="00F80E87" w:rsidP="008B534E">
      <w:pPr>
        <w:pStyle w:val="ac"/>
        <w:numPr>
          <w:ilvl w:val="0"/>
          <w:numId w:val="15"/>
        </w:numPr>
        <w:spacing w:before="100" w:beforeAutospacing="1" w:after="240" w:line="360" w:lineRule="auto"/>
        <w:contextualSpacing w:val="0"/>
        <w:jc w:val="both"/>
      </w:pPr>
      <w:r>
        <w:rPr>
          <w:rFonts w:hint="cs"/>
          <w:rtl/>
        </w:rPr>
        <w:t xml:space="preserve">סוף דבר: </w:t>
      </w:r>
      <w:r w:rsidRPr="006D6CDC">
        <w:rPr>
          <w:rtl/>
        </w:rPr>
        <w:t xml:space="preserve">עניינה של התביעה </w:t>
      </w:r>
      <w:r>
        <w:rPr>
          <w:rFonts w:hint="cs"/>
          <w:rtl/>
        </w:rPr>
        <w:t>בתביעה לפיצוי כספי בסכום של 1,100,540 ש"ח</w:t>
      </w:r>
      <w:r w:rsidRPr="006D6CDC">
        <w:rPr>
          <w:rtl/>
        </w:rPr>
        <w:t>, אשר מצויה בסמכותו של בית משפט השלום, וזאת בהתאם להוראות </w:t>
      </w:r>
      <w:r>
        <w:rPr>
          <w:rFonts w:hint="cs"/>
          <w:rtl/>
        </w:rPr>
        <w:t>סעיף 51(א)(2) לחוק בתי המשפט [נוסח משולב], התשמ"ד-1984 (להלן: "</w:t>
      </w:r>
      <w:r w:rsidRPr="00F80E87">
        <w:rPr>
          <w:rFonts w:hint="cs"/>
          <w:b/>
          <w:bCs/>
          <w:rtl/>
        </w:rPr>
        <w:t>חוק בתי המשפט</w:t>
      </w:r>
      <w:r>
        <w:rPr>
          <w:rFonts w:hint="cs"/>
          <w:rtl/>
        </w:rPr>
        <w:t xml:space="preserve">"). משכך, ובהתאם להוראות סעיף 79(א) לחוק בתי המשפט, </w:t>
      </w:r>
      <w:r w:rsidRPr="006D6CDC">
        <w:rPr>
          <w:rtl/>
        </w:rPr>
        <w:t>אשר חל בענייננו מכוחו של</w:t>
      </w:r>
      <w:r>
        <w:rPr>
          <w:rFonts w:hint="cs"/>
          <w:rtl/>
        </w:rPr>
        <w:t xml:space="preserve"> סעיף 74 לחוק המקרקעין, התשכ"ט-1969 (</w:t>
      </w:r>
      <w:r w:rsidRPr="006D6CDC">
        <w:rPr>
          <w:rtl/>
        </w:rPr>
        <w:t>ראו</w:t>
      </w:r>
      <w:r>
        <w:rPr>
          <w:rFonts w:hint="cs"/>
          <w:rtl/>
        </w:rPr>
        <w:t>: ע"א (מחוזי תל אביב-יפו) 1730/99</w:t>
      </w:r>
      <w:r w:rsidRPr="00F80E87">
        <w:rPr>
          <w:rFonts w:hint="cs"/>
          <w:rtl/>
        </w:rPr>
        <w:t xml:space="preserve"> </w:t>
      </w:r>
      <w:proofErr w:type="spellStart"/>
      <w:r w:rsidRPr="00F80E87">
        <w:rPr>
          <w:b/>
          <w:bCs/>
          <w:rtl/>
        </w:rPr>
        <w:t>צ.ה.ר</w:t>
      </w:r>
      <w:proofErr w:type="spellEnd"/>
      <w:r w:rsidRPr="00F80E87">
        <w:rPr>
          <w:b/>
          <w:bCs/>
          <w:rtl/>
        </w:rPr>
        <w:t>. חברה לפיתוח ובניין בע"מ נ' יום-טוב עבוד שבבי (1987) בע"מ</w:t>
      </w:r>
      <w:r>
        <w:rPr>
          <w:rFonts w:hint="cs"/>
          <w:rtl/>
        </w:rPr>
        <w:t xml:space="preserve">, </w:t>
      </w:r>
      <w:r w:rsidRPr="006D6CDC">
        <w:rPr>
          <w:rtl/>
        </w:rPr>
        <w:t xml:space="preserve">פסקה 9 </w:t>
      </w:r>
      <w:r>
        <w:rPr>
          <w:rFonts w:hint="cs"/>
          <w:rtl/>
        </w:rPr>
        <w:t xml:space="preserve">(31.12.1999)), </w:t>
      </w:r>
      <w:r w:rsidRPr="006D6CDC">
        <w:rPr>
          <w:rtl/>
        </w:rPr>
        <w:t xml:space="preserve">אני מורה על העברת התביעה לבית משפט השלום במחוז </w:t>
      </w:r>
      <w:r>
        <w:rPr>
          <w:rFonts w:hint="cs"/>
          <w:rtl/>
        </w:rPr>
        <w:t>דרום</w:t>
      </w:r>
      <w:r w:rsidRPr="006D6CDC">
        <w:rPr>
          <w:rtl/>
        </w:rPr>
        <w:t xml:space="preserve">. </w:t>
      </w:r>
      <w:r>
        <w:rPr>
          <w:rFonts w:hint="cs"/>
          <w:rtl/>
        </w:rPr>
        <w:t xml:space="preserve"> </w:t>
      </w:r>
      <w:r w:rsidRPr="006D6CDC">
        <w:rPr>
          <w:rtl/>
        </w:rPr>
        <w:t xml:space="preserve">ההחלטה תועבר לנשיא בתי משפט השלום במחוז </w:t>
      </w:r>
      <w:r>
        <w:rPr>
          <w:rFonts w:hint="cs"/>
          <w:rtl/>
        </w:rPr>
        <w:t>דרום</w:t>
      </w:r>
      <w:r w:rsidRPr="006D6CDC">
        <w:rPr>
          <w:rtl/>
        </w:rPr>
        <w:t>, לצורך ניתוב התביעה במחוז</w:t>
      </w:r>
      <w:r w:rsidRPr="006D6CDC">
        <w:t>.</w:t>
      </w:r>
      <w:r>
        <w:rPr>
          <w:rFonts w:hint="cs"/>
          <w:rtl/>
        </w:rPr>
        <w:t xml:space="preserve"> </w:t>
      </w:r>
    </w:p>
    <w:p w14:paraId="709502A3" w14:textId="6C213974" w:rsidR="00F80E87" w:rsidRDefault="00F80E87" w:rsidP="008B534E">
      <w:pPr>
        <w:pStyle w:val="ac"/>
        <w:numPr>
          <w:ilvl w:val="0"/>
          <w:numId w:val="15"/>
        </w:numPr>
        <w:spacing w:before="100" w:beforeAutospacing="1" w:after="240" w:line="360" w:lineRule="auto"/>
        <w:contextualSpacing w:val="0"/>
        <w:jc w:val="both"/>
      </w:pPr>
      <w:r>
        <w:rPr>
          <w:rFonts w:hint="cs"/>
          <w:rtl/>
        </w:rPr>
        <w:t xml:space="preserve">התובעת תישא בהוצאות הנתבעת בקשר עם הבקשה לסילוק התביעה בסך של 5,000 ש"ח. סכום זה ישולם בתוך 30 ימים מיום המצאת ההחלטה לתובעת, שאם לא כן </w:t>
      </w:r>
      <w:proofErr w:type="spellStart"/>
      <w:r>
        <w:rPr>
          <w:rFonts w:hint="cs"/>
          <w:rtl/>
        </w:rPr>
        <w:t>ישא</w:t>
      </w:r>
      <w:proofErr w:type="spellEnd"/>
      <w:r>
        <w:rPr>
          <w:rFonts w:hint="cs"/>
          <w:rtl/>
        </w:rPr>
        <w:t xml:space="preserve"> ריבית </w:t>
      </w:r>
      <w:proofErr w:type="spellStart"/>
      <w:r>
        <w:rPr>
          <w:rFonts w:hint="cs"/>
          <w:rtl/>
        </w:rPr>
        <w:t>שיקלית</w:t>
      </w:r>
      <w:proofErr w:type="spellEnd"/>
      <w:r>
        <w:rPr>
          <w:rFonts w:hint="cs"/>
          <w:rtl/>
        </w:rPr>
        <w:t xml:space="preserve"> מיום מתן ההחלטה ועד מועד הפירעון.</w:t>
      </w:r>
      <w:r w:rsidR="00DC118A" w:rsidRPr="00DC118A">
        <w:rPr>
          <w:noProof/>
        </w:rPr>
        <w:t xml:space="preserve"> </w:t>
      </w:r>
    </w:p>
    <w:p w14:paraId="5A79A8E8" w14:textId="24E5A1C7" w:rsidR="00190728" w:rsidRPr="00DC0C2E" w:rsidRDefault="00190728" w:rsidP="00190728">
      <w:pPr>
        <w:pStyle w:val="ae"/>
        <w:ind w:left="0"/>
        <w:jc w:val="left"/>
      </w:pPr>
      <w:r w:rsidRPr="00651164">
        <w:rPr>
          <w:rFonts w:ascii="David" w:hAnsi="David"/>
          <w:b/>
          <w:bCs/>
          <w:i w:val="0"/>
          <w:iCs w:val="0"/>
          <w:color w:val="auto"/>
          <w:sz w:val="24"/>
          <w:rtl/>
        </w:rPr>
        <w:t>ניתנה היום</w:t>
      </w:r>
      <w:r w:rsidR="00313DB0">
        <w:rPr>
          <w:rFonts w:ascii="David" w:hAnsi="David" w:hint="cs"/>
          <w:b/>
          <w:bCs/>
          <w:i w:val="0"/>
          <w:iCs w:val="0"/>
          <w:color w:val="auto"/>
          <w:sz w:val="24"/>
          <w:rtl/>
        </w:rPr>
        <w:t xml:space="preserve"> 20.04.2025, כ"ב ניסן תשפ"ה,</w:t>
      </w:r>
      <w:r w:rsidRPr="00651164">
        <w:rPr>
          <w:rFonts w:ascii="David" w:hAnsi="David"/>
          <w:b/>
          <w:bCs/>
          <w:i w:val="0"/>
          <w:iCs w:val="0"/>
          <w:color w:val="auto"/>
          <w:sz w:val="24"/>
          <w:rtl/>
        </w:rPr>
        <w:t xml:space="preserve"> בהיעדר הצדדים</w:t>
      </w:r>
      <w:r w:rsidRPr="00651164">
        <w:rPr>
          <w:rFonts w:ascii="David" w:hAnsi="David"/>
          <w:i w:val="0"/>
          <w:iCs w:val="0"/>
          <w:color w:val="auto"/>
          <w:sz w:val="24"/>
          <w:rtl/>
        </w:rPr>
        <w:t>.</w:t>
      </w:r>
      <w:r w:rsidRPr="00651164">
        <w:rPr>
          <w:rFonts w:hint="cs"/>
          <w:color w:val="auto"/>
          <w:rtl/>
        </w:rPr>
        <w:t xml:space="preserve"> </w:t>
      </w:r>
    </w:p>
    <w:p w14:paraId="0851B3C3" w14:textId="51A5F5C6" w:rsidR="00190728" w:rsidRPr="00651164" w:rsidRDefault="00DC118A" w:rsidP="00651164">
      <w:pPr>
        <w:pStyle w:val="ac"/>
        <w:spacing w:before="100" w:beforeAutospacing="1" w:after="240" w:line="360" w:lineRule="auto"/>
        <w:ind w:left="360"/>
        <w:contextualSpacing w:val="0"/>
        <w:jc w:val="both"/>
      </w:pPr>
      <w:r>
        <w:rPr>
          <w:noProof/>
        </w:rPr>
        <mc:AlternateContent>
          <mc:Choice Requires="wpi">
            <w:drawing>
              <wp:anchor distT="0" distB="0" distL="114300" distR="114300" simplePos="0" relativeHeight="251658752" behindDoc="0" locked="0" layoutInCell="1" allowOverlap="1" wp14:anchorId="718D81B6" wp14:editId="12AC09F0">
                <wp:simplePos x="0" y="0"/>
                <wp:positionH relativeFrom="column">
                  <wp:posOffset>582581</wp:posOffset>
                </wp:positionH>
                <wp:positionV relativeFrom="paragraph">
                  <wp:posOffset>-65636</wp:posOffset>
                </wp:positionV>
                <wp:extent cx="421428" cy="677487"/>
                <wp:effectExtent l="0" t="0" r="0" b="0"/>
                <wp:wrapNone/>
                <wp:docPr id="14" name="דיו 3" descr="חתימה"/>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0F3F7F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45.5pt;margin-top:-5.5pt;width:33.9pt;height:54.0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D1UWqAQAAQwMAAA4AAABkcnMvZTJvRG9jLnhtbJxSS27bMBDdF+gd&#10;CO5rSbYQG4LlLGIUyKKpF+0BGH4sIiJHGNKWc462CLLpAXohXacj2Y6dBEGAbIThPOrxvXkzv9y5&#10;mm01Bgu+5Nko5Ux7Ccr6dcl//vj6ZcZZiMIrUYPXJb/XgV8uPn+at02hx1BBrTQyIvGhaJuSVzE2&#10;RZIEWWknwgga7Qk0gE5EOuI6UShaYnd1Mk7Ti6QFVA2C1CFQd7kH+WLgN0bL+N2YoCOrS55PUlIT&#10;hyLnDKmYTkjwLRWzWcaTxVwUaxRNZeVBkviAIiesJwFPVEsRBdugfUXlrEQIYOJIgkvAGCv14Iec&#10;ZekLZ9f+rneV5XKDhQQftY8rgfE4uwH4yBOupgm030BROmITgR8YaTzvh7EXvQS5caRnnwjqWkRa&#10;h1DZJtCYC6tKjtcqO+n326uTgxWefN1sV8j6+xkF5IUjTd2v7rH7wyacKR0kqeoeun/U+tv97hM7&#10;TuTmOSUhyQF667GdQdfHRB7YruS0CPf9d9gCvYtMUjMfZ/mYlkYSdDGd5rNpjx+Z9wzH01kodOVZ&#10;/Ofn/vez3V/8BwAA//8DAFBLAwQUAAYACAAAACEAAAdS5YIDAABuCAAAEAAAAGRycy9pbmsvaW5r&#10;MS54bWykVE2P2zYQvRfofyDYQy6kzQ9Jlox4c2qAAi0QNCnQHh2bsYVY0kKS491/3zdDiuui20Pb&#10;gySSM/Nm3puh3r576i7iWxinduh30q6MFKE/DMe2P+3kb5/e61qKad73x/1l6MNOPodJvnv4/ru3&#10;bf+1u2zxFkDoJ1p1l508z/Pjdr2+3W6rm18N42ntjPHrn/qvv/wsH1LUMXxp+3ZGymk5Ogz9HJ5m&#10;Atu2x508zE8m+wP743AdDyGb6WQ8vHjM4/4Q3g9jt58z4nnf9+Ei+n2Hun+XYn5+xKJFnlMYpeha&#10;ENZuZYtNUf/Y4GD/tJN3+ytKnFBJJ9evY/7xPzHXrNn2n2v/MA6PYZzb8CJTJJUMz+IQ98wvEh3D&#10;NFyupK0U3/aXKyhbY9DWRMeuXyH0dzxw+3d4iUwq6L7yZMlNXMSc2y5gtLrH3NV5Qp10/HEeeQCd&#10;cYU2jXblJ1Ntnd86szJNTQ1Z8sW5WTA/j9fpnPE+jy8TwpbMM3K7tcf5nGUCtCuzTvcqvRZ7Du3p&#10;PP/H4PbUD2P4gF5N1zFkEHtHjHNmmq/cGB4bke7Nr+HLTv7Al0ZwZDxgAYrCi03l1Zvqjd4oaaVR&#10;RltlhOOvFbS2ygqjNL3oQFt4WPK4P6AQNpRwqcjDVjjS1lNMjIsoTjlaOBy7SlgAeqPrlAOBSBSx&#10;KTNnbYT1qixF7ZWu4Jt8uBDKqz3XzMd4ubSzomgQoDcghYz0AI68qDxakCfRiiZs2B7ZMshiIh8+&#10;gB7s9pcNrAQZgzWRXiq32EUansXAlmxGgwnrmb1dqSvSgzSOySiWkQwvGm1L5QqBN9ftBDAiVfZb&#10;msO8GoBpWwi8fYNkdS3qBEboVAKeWHRFJu+FdQq+BM/le3hsVFFqRzXHjnDN3L2oGjoIOLTSxAUH&#10;YgAIvlSebMyS7XQYhSI3illqKEVBKLrMRKKtpr5rC/5LHJ3jWcSOpWAXy4nWGqm1tRip+5ZxbsQm&#10;RWMxDJaKioZlQ9OZx4QW0TV98z5mzCQjoUI5rz21CT0qld1oX0Qh2BHTyt1Pg8g9XAwsAF6OWk41&#10;8KxiRQajN+hnCVYFrosTFSQmiQpVUNl4St1UWNiS+sEDGRuzFP/CKAVQwXcipnvHgmLNX+iwgZzI&#10;bzEo1LooJX0XWWhCWNp0t7nB1H7EFKrELYe1MbpZfs38g8p/MPz+H/4EAAD//wMAUEsDBBQABgAI&#10;AAAAIQC8AhAt3QAAAAkBAAAPAAAAZHJzL2Rvd25yZXYueG1sTI/BTsMwEETvSPyDtUhcUOsEVCgh&#10;ToUqceBAgRbubrzEEfE6sp0m/D2bE9x2NKPZeeVmcp04YYitJwX5MgOBVHvTUqPg4/C0WIOISZPR&#10;nSdU8IMRNtX5WakL40d6x9M+NYJLKBZagU2pL6SMtUWn49L3SOx9+eB0YhkaaYIeudx18jrLbqXT&#10;LfEHq3vcWqy/94NT8Lmqd+Flt70abjL3epieR5L2TanLi+nxAUTCKf2FYZ7P06HiTUc/kImiU3Cf&#10;M0pSsMjnYw6s1sxyZOcuB1mV8j9B9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7g9VFqgEAAEMDAAAOAAAAAAAAAAAAAAAAADwCAABkcnMvZTJvRG9jLnht&#10;bFBLAQItABQABgAIAAAAIQAAB1LlggMAAG4IAAAQAAAAAAAAAAAAAAAAABIEAABkcnMvaW5rL2lu&#10;azEueG1sUEsBAi0AFAAGAAgAAAAhALwCEC3dAAAACQEAAA8AAAAAAAAAAAAAAAAAwgcAAGRycy9k&#10;b3ducmV2LnhtbFBLAQItABQABgAIAAAAIQB5GLydvwAAACEBAAAZAAAAAAAAAAAAAAAAAMwIAABk&#10;cnMvX3JlbHMvZTJvRG9jLnhtbC5yZWxzUEsFBgAAAAAGAAYAeAEAAMIJAAAAAA==&#10;">
                <v:imagedata r:id="rId12" o:title="חתימה"/>
              </v:shape>
            </w:pict>
          </mc:Fallback>
        </mc:AlternateContent>
      </w:r>
      <w:r>
        <w:rPr>
          <w:noProof/>
        </w:rPr>
        <mc:AlternateContent>
          <mc:Choice Requires="wps">
            <w:drawing>
              <wp:anchor distT="0" distB="0" distL="114300" distR="114300" simplePos="0" relativeHeight="251659264" behindDoc="0" locked="0" layoutInCell="1" allowOverlap="1" wp14:anchorId="7A6DAC83" wp14:editId="7E8E76B3">
                <wp:simplePos x="0" y="0"/>
                <wp:positionH relativeFrom="column">
                  <wp:posOffset>125532</wp:posOffset>
                </wp:positionH>
                <wp:positionV relativeFrom="paragraph">
                  <wp:posOffset>360251</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4289E9D7" w14:textId="77777777" w:rsidR="00190728" w:rsidRDefault="00190728" w:rsidP="00DC0C2E">
                            <w:pPr>
                              <w:jc w:val="center"/>
                              <w:rPr>
                                <w:rFonts w:ascii="David" w:hAnsi="David"/>
                                <w:color w:val="000000" w:themeColor="text1"/>
                                <w:kern w:val="24"/>
                              </w:rPr>
                            </w:pPr>
                            <w:r>
                              <w:rPr>
                                <w:rFonts w:ascii="David" w:hAnsi="David"/>
                                <w:color w:val="000000" w:themeColor="text1"/>
                                <w:kern w:val="24"/>
                                <w:rtl/>
                              </w:rPr>
                              <w:t>_________________</w:t>
                            </w:r>
                          </w:p>
                          <w:p w14:paraId="3FDCC6AE" w14:textId="77777777" w:rsidR="00190728" w:rsidRPr="00B2668E" w:rsidRDefault="00190728"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13BED86E" w14:textId="77777777" w:rsidR="00190728" w:rsidRDefault="00190728"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7A6DAC83" id="כותרת משנה 2" o:spid="_x0000_s1026" alt="חתימה&#10;" style="position:absolute;left:0;text-align:left;margin-left:9.9pt;margin-top:28.35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4ZSF7OAAAAAJAQAADwAAAGRycy9kb3ducmV2LnhtbEyPXUvDQBBF3wX/wzKCL2I3&#10;9suaZlOkIBYRiqn2eZudJsHsbJrdJvHfOz7Zx8sZ7j2TrAZbiw5bXzlS8DCKQCDlzlRUKPjcvdwv&#10;QPigyejaESr4QQ+r9Poq0bFxPX1gl4VCcAn5WCsoQ2hiKX1eotV+5BokZkfXWh04toU0re653NZy&#10;HEVzaXVFvFDqBtcl5t/Z2Sro8223372/yu3dfuPotDmts683pW5vhucliIBD+D+GP31Wh5SdDu5M&#10;xoua8xObBwWz+SMI5uNFNAVxYDCdTECmibz8IP0FAAD//wMAUEsBAi0AFAAGAAgAAAAhALaDOJL+&#10;AAAA4QEAABMAAAAAAAAAAAAAAAAAAAAAAFtDb250ZW50X1R5cGVzXS54bWxQSwECLQAUAAYACAAA&#10;ACEAOP0h/9YAAACUAQAACwAAAAAAAAAAAAAAAAAvAQAAX3JlbHMvLnJlbHNQSwECLQAUAAYACAAA&#10;ACEAOp5lgtwBAAByAwAADgAAAAAAAAAAAAAAAAAuAgAAZHJzL2Uyb0RvYy54bWxQSwECLQAUAAYA&#10;CAAAACEA4ZSF7OAAAAAJAQAADwAAAAAAAAAAAAAAAAA2BAAAZHJzL2Rvd25yZXYueG1sUEsFBgAA&#10;AAAEAAQA8wAAAEMFAAAAAA==&#10;" filled="f" stroked="f">
                <o:lock v:ext="edit" grouping="t"/>
                <v:textbox>
                  <w:txbxContent>
                    <w:p w14:paraId="4289E9D7" w14:textId="77777777" w:rsidR="00190728" w:rsidRDefault="00190728" w:rsidP="00DC0C2E">
                      <w:pPr>
                        <w:jc w:val="center"/>
                        <w:rPr>
                          <w:rFonts w:ascii="David" w:hAnsi="David"/>
                          <w:color w:val="000000" w:themeColor="text1"/>
                          <w:kern w:val="24"/>
                        </w:rPr>
                      </w:pPr>
                      <w:r>
                        <w:rPr>
                          <w:rFonts w:ascii="David" w:hAnsi="David"/>
                          <w:color w:val="000000" w:themeColor="text1"/>
                          <w:kern w:val="24"/>
                          <w:rtl/>
                        </w:rPr>
                        <w:t>_________________</w:t>
                      </w:r>
                    </w:p>
                    <w:p w14:paraId="3FDCC6AE" w14:textId="77777777" w:rsidR="00190728" w:rsidRPr="00B2668E" w:rsidRDefault="00190728" w:rsidP="00DC0C2E">
                      <w:pPr>
                        <w:jc w:val="center"/>
                        <w:rPr>
                          <w:rFonts w:ascii="David" w:hAnsi="David"/>
                          <w:color w:val="000000" w:themeColor="text1"/>
                          <w:kern w:val="24"/>
                          <w:rtl/>
                        </w:rPr>
                      </w:pPr>
                      <w:r w:rsidRPr="00B2668E">
                        <w:rPr>
                          <w:rFonts w:ascii="David" w:hAnsi="David"/>
                          <w:color w:val="000000" w:themeColor="text1"/>
                          <w:kern w:val="24"/>
                          <w:rtl/>
                        </w:rPr>
                        <w:t>ברק ליפשיץ</w:t>
                      </w:r>
                    </w:p>
                    <w:p w14:paraId="13BED86E" w14:textId="77777777" w:rsidR="00190728" w:rsidRDefault="00190728" w:rsidP="00DC0C2E">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08AFB2A9" w14:textId="7F9998DA" w:rsidR="00190728" w:rsidRPr="00190728" w:rsidRDefault="00190728" w:rsidP="00190728">
      <w:pPr>
        <w:spacing w:before="100" w:beforeAutospacing="1" w:after="240" w:line="360" w:lineRule="auto"/>
        <w:contextualSpacing w:val="0"/>
        <w:jc w:val="both"/>
      </w:pPr>
    </w:p>
    <w:sectPr w:rsidR="00190728" w:rsidRPr="00190728" w:rsidSect="00B06DCB">
      <w:headerReference w:type="default" r:id="rId13"/>
      <w:footerReference w:type="default" r:id="rId14"/>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B393C" w14:textId="77777777" w:rsidR="00AD004F" w:rsidRDefault="00AD004F" w:rsidP="00E6645A">
      <w:r>
        <w:separator/>
      </w:r>
    </w:p>
  </w:endnote>
  <w:endnote w:type="continuationSeparator" w:id="0">
    <w:p w14:paraId="3D710844" w14:textId="77777777" w:rsidR="00AD004F" w:rsidRDefault="00AD004F"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458712D4"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CC2982">
          <w:fldChar w:fldCharType="begin"/>
        </w:r>
        <w:r w:rsidR="00CC2982">
          <w:instrText xml:space="preserve"> PAGE   \* MERGEFORMAT </w:instrText>
        </w:r>
        <w:r w:rsidR="00CC2982">
          <w:fldChar w:fldCharType="separate"/>
        </w:r>
        <w:r w:rsidR="001604C5">
          <w:rPr>
            <w:noProof/>
            <w:rtl/>
          </w:rPr>
          <w:t>1</w:t>
        </w:r>
        <w:r w:rsidR="00CC2982">
          <w:fldChar w:fldCharType="end"/>
        </w:r>
      </w:p>
    </w:sdtContent>
  </w:sdt>
  <w:p w14:paraId="69EA1CA4"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39E04" w14:textId="77777777" w:rsidR="00AD004F" w:rsidRDefault="00AD004F" w:rsidP="00E6645A">
      <w:r>
        <w:separator/>
      </w:r>
    </w:p>
  </w:footnote>
  <w:footnote w:type="continuationSeparator" w:id="0">
    <w:p w14:paraId="2B1C76E3" w14:textId="77777777" w:rsidR="00AD004F" w:rsidRDefault="00AD004F"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DAC0D"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2E950ED4" wp14:editId="2766A559">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64E5DEC"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0775C921"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4CB1B8C6" w14:textId="77777777" w:rsidR="003A2D09" w:rsidRPr="00257FA6" w:rsidRDefault="001E56A2" w:rsidP="003A2D09">
    <w:pPr>
      <w:pStyle w:val="a6"/>
      <w:jc w:val="center"/>
      <w:rPr>
        <w:rFonts w:ascii="Arial" w:hAnsi="Arial"/>
        <w:b/>
        <w:bCs/>
        <w:sz w:val="20"/>
        <w:rtl/>
      </w:rPr>
    </w:pPr>
    <w:r>
      <w:rPr>
        <w:rFonts w:ascii="David" w:hAnsi="David"/>
        <w:b/>
        <w:bCs/>
        <w:noProof/>
        <w:sz w:val="24"/>
        <w:rtl/>
      </w:rPr>
      <w:t>באר שבע</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3DB4F78E" w14:textId="77777777" w:rsidTr="001035B0">
      <w:tc>
        <w:tcPr>
          <w:tcW w:w="3118" w:type="dxa"/>
        </w:tcPr>
        <w:p w14:paraId="590A7033"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007F406E"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2CD75EA7"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5D570A54" w14:textId="77777777" w:rsidR="00D3650D" w:rsidRPr="00257FA6" w:rsidRDefault="00D3650D" w:rsidP="00373A1B">
          <w:pPr>
            <w:pStyle w:val="a6"/>
            <w:jc w:val="center"/>
            <w:rPr>
              <w:rFonts w:ascii="Arial" w:hAnsi="Arial"/>
              <w:b/>
              <w:bCs/>
              <w:sz w:val="20"/>
              <w:rtl/>
            </w:rPr>
          </w:pPr>
        </w:p>
      </w:tc>
      <w:tc>
        <w:tcPr>
          <w:tcW w:w="4537" w:type="dxa"/>
        </w:tcPr>
        <w:p w14:paraId="6F341FCD" w14:textId="77777777" w:rsidR="00D3650D" w:rsidRPr="00257FA6" w:rsidRDefault="001E56A2" w:rsidP="001C63D8">
          <w:pPr>
            <w:pStyle w:val="a6"/>
            <w:rPr>
              <w:rFonts w:ascii="Arial" w:hAnsi="Arial"/>
              <w:b/>
              <w:bCs/>
              <w:sz w:val="20"/>
              <w:rtl/>
            </w:rPr>
          </w:pPr>
          <w:r>
            <w:rPr>
              <w:rFonts w:ascii="David" w:hAnsi="David"/>
              <w:b/>
              <w:bCs/>
              <w:noProof/>
              <w:sz w:val="24"/>
              <w:rtl/>
            </w:rPr>
            <w:t>מס' תיק: 2/112/2024</w:t>
          </w:r>
        </w:p>
      </w:tc>
    </w:tr>
  </w:tbl>
  <w:p w14:paraId="6289D4A1"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385B4819"/>
    <w:multiLevelType w:val="hybridMultilevel"/>
    <w:tmpl w:val="0504AD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2A320D"/>
    <w:multiLevelType w:val="hybridMultilevel"/>
    <w:tmpl w:val="3314FDC2"/>
    <w:lvl w:ilvl="0" w:tplc="ADC033E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5" w15:restartNumberingAfterBreak="0">
    <w:nsid w:val="761B2BB9"/>
    <w:multiLevelType w:val="hybridMultilevel"/>
    <w:tmpl w:val="1F0A46D0"/>
    <w:lvl w:ilvl="0" w:tplc="1B0AD6D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6"/>
  </w:num>
  <w:num w:numId="15">
    <w:abstractNumId w:val="11"/>
  </w:num>
  <w:num w:numId="16">
    <w:abstractNumId w:val="1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 w:val="........................................................................................................................................................................................................................................................................................................................................................................................................................................................................................................................................................................................................................................................................................................................................................................................................................................................................................................................................................................................................................................"/>
    <w:docVar w:name="68" w:val="........................................................................................................................................................................................................................................................................................................................................................................................................................................................................................................................................................................................................................................................................................................................................................................................................................................................................................................................................................................................................................................"/>
    <w:docVar w:name="DocTable" w:val="2"/>
    <w:docVar w:name="Document Headings-21/04/2025 08:30:00" w:val="........................................................................................................................................................................................................................................................................................................................................................................................................................................................................................................................................................................................................................................................................................................................................................................................................................................................................................................................................................................................................................................"/>
    <w:docVar w:name="Document MetaData-21/04/2025 08:29:11" w:val="........................................................................................................................................................................................................................................................................................................................................................................................................................................................................................................................................................................................................................................................................................................................................................................................................................................................................................................................................................................................................................................"/>
    <w:docVar w:name="Document Tables-21/04/2025 08:30:46" w:val="........................................................................................................................................................................................................................................................................................................................................................................................................................................................................................................................................................................................................................................................................................................................................................................................................................................................................................................................................................................................................................................"/>
    <w:docVar w:name="P1" w:val="Document MetaData-21/04/2025 08:33:40"/>
    <w:docVar w:name="P2" w:val="Document Headings-21/04/2025 08:33:42"/>
    <w:docVar w:name="P3" w:val="Document Tables-21/04/2025 08:33:44"/>
    <w:docVar w:name="ParaNumber" w:val="33"/>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02EF"/>
    <w:rsid w:val="000960BA"/>
    <w:rsid w:val="000C25E1"/>
    <w:rsid w:val="000D1035"/>
    <w:rsid w:val="000E046E"/>
    <w:rsid w:val="000E59A0"/>
    <w:rsid w:val="000F1BB5"/>
    <w:rsid w:val="000F3601"/>
    <w:rsid w:val="000F40C1"/>
    <w:rsid w:val="0010153E"/>
    <w:rsid w:val="001035B0"/>
    <w:rsid w:val="00107339"/>
    <w:rsid w:val="001166DA"/>
    <w:rsid w:val="00141176"/>
    <w:rsid w:val="001604C5"/>
    <w:rsid w:val="00171732"/>
    <w:rsid w:val="00190728"/>
    <w:rsid w:val="001A73F3"/>
    <w:rsid w:val="001D4325"/>
    <w:rsid w:val="001E56A2"/>
    <w:rsid w:val="001F5C40"/>
    <w:rsid w:val="00227E56"/>
    <w:rsid w:val="00227EDD"/>
    <w:rsid w:val="00237FAC"/>
    <w:rsid w:val="00257FA6"/>
    <w:rsid w:val="0026341F"/>
    <w:rsid w:val="0028308D"/>
    <w:rsid w:val="002856AB"/>
    <w:rsid w:val="00285EE4"/>
    <w:rsid w:val="002A668B"/>
    <w:rsid w:val="002D0DC6"/>
    <w:rsid w:val="00302C45"/>
    <w:rsid w:val="00313DB0"/>
    <w:rsid w:val="00314AD6"/>
    <w:rsid w:val="00334719"/>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43F50"/>
    <w:rsid w:val="004507C9"/>
    <w:rsid w:val="00451EC5"/>
    <w:rsid w:val="0046217D"/>
    <w:rsid w:val="0046318A"/>
    <w:rsid w:val="00463562"/>
    <w:rsid w:val="004652EB"/>
    <w:rsid w:val="00472CF9"/>
    <w:rsid w:val="00481A0F"/>
    <w:rsid w:val="0048430F"/>
    <w:rsid w:val="00492E70"/>
    <w:rsid w:val="004C4A98"/>
    <w:rsid w:val="004E326D"/>
    <w:rsid w:val="004F780E"/>
    <w:rsid w:val="00506114"/>
    <w:rsid w:val="00507D6F"/>
    <w:rsid w:val="00533418"/>
    <w:rsid w:val="00535A25"/>
    <w:rsid w:val="00545351"/>
    <w:rsid w:val="00545579"/>
    <w:rsid w:val="00554894"/>
    <w:rsid w:val="00555A87"/>
    <w:rsid w:val="0056381C"/>
    <w:rsid w:val="005714F0"/>
    <w:rsid w:val="005807C0"/>
    <w:rsid w:val="005A4338"/>
    <w:rsid w:val="005B2A07"/>
    <w:rsid w:val="005B6D9F"/>
    <w:rsid w:val="005B7227"/>
    <w:rsid w:val="005E07ED"/>
    <w:rsid w:val="005E224F"/>
    <w:rsid w:val="005F04A9"/>
    <w:rsid w:val="005F6BF1"/>
    <w:rsid w:val="00627AC1"/>
    <w:rsid w:val="0063709C"/>
    <w:rsid w:val="006478D8"/>
    <w:rsid w:val="00651AB5"/>
    <w:rsid w:val="00657C5B"/>
    <w:rsid w:val="0066182D"/>
    <w:rsid w:val="00677D3C"/>
    <w:rsid w:val="0068119F"/>
    <w:rsid w:val="0068496F"/>
    <w:rsid w:val="006906EC"/>
    <w:rsid w:val="00696EE2"/>
    <w:rsid w:val="006C40BD"/>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A7581"/>
    <w:rsid w:val="007B1CF6"/>
    <w:rsid w:val="007B61FE"/>
    <w:rsid w:val="007E3C9A"/>
    <w:rsid w:val="007E47BC"/>
    <w:rsid w:val="00803D38"/>
    <w:rsid w:val="00825E24"/>
    <w:rsid w:val="008346FC"/>
    <w:rsid w:val="00835647"/>
    <w:rsid w:val="00841790"/>
    <w:rsid w:val="00846D73"/>
    <w:rsid w:val="00850B49"/>
    <w:rsid w:val="0086487F"/>
    <w:rsid w:val="00867BA8"/>
    <w:rsid w:val="008716BE"/>
    <w:rsid w:val="00882DC5"/>
    <w:rsid w:val="00895C0A"/>
    <w:rsid w:val="008A2AB4"/>
    <w:rsid w:val="008A7D76"/>
    <w:rsid w:val="008B534E"/>
    <w:rsid w:val="008C4D39"/>
    <w:rsid w:val="008E0BDC"/>
    <w:rsid w:val="009058E3"/>
    <w:rsid w:val="009266B5"/>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0C3D"/>
    <w:rsid w:val="00AA19F1"/>
    <w:rsid w:val="00AA2219"/>
    <w:rsid w:val="00AA5F44"/>
    <w:rsid w:val="00AA6CAB"/>
    <w:rsid w:val="00AA7FAF"/>
    <w:rsid w:val="00AC0A8E"/>
    <w:rsid w:val="00AD004F"/>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4AE"/>
    <w:rsid w:val="00BB4A46"/>
    <w:rsid w:val="00BC453B"/>
    <w:rsid w:val="00BD2B92"/>
    <w:rsid w:val="00BD611E"/>
    <w:rsid w:val="00BF226D"/>
    <w:rsid w:val="00BF3CD0"/>
    <w:rsid w:val="00C000F7"/>
    <w:rsid w:val="00C06756"/>
    <w:rsid w:val="00C07D14"/>
    <w:rsid w:val="00C21C67"/>
    <w:rsid w:val="00C2248B"/>
    <w:rsid w:val="00C32D24"/>
    <w:rsid w:val="00C333A2"/>
    <w:rsid w:val="00C351AC"/>
    <w:rsid w:val="00C452A8"/>
    <w:rsid w:val="00C60A02"/>
    <w:rsid w:val="00C8524A"/>
    <w:rsid w:val="00C92D3D"/>
    <w:rsid w:val="00CB44D3"/>
    <w:rsid w:val="00CC2982"/>
    <w:rsid w:val="00CD0363"/>
    <w:rsid w:val="00CE2359"/>
    <w:rsid w:val="00CF458D"/>
    <w:rsid w:val="00D0443B"/>
    <w:rsid w:val="00D11EF2"/>
    <w:rsid w:val="00D158EA"/>
    <w:rsid w:val="00D3650D"/>
    <w:rsid w:val="00D40469"/>
    <w:rsid w:val="00D507E2"/>
    <w:rsid w:val="00D54636"/>
    <w:rsid w:val="00D63F0C"/>
    <w:rsid w:val="00D80962"/>
    <w:rsid w:val="00DA03B2"/>
    <w:rsid w:val="00DB2354"/>
    <w:rsid w:val="00DB6109"/>
    <w:rsid w:val="00DC118A"/>
    <w:rsid w:val="00E0372D"/>
    <w:rsid w:val="00E0435C"/>
    <w:rsid w:val="00E114C4"/>
    <w:rsid w:val="00E13BDC"/>
    <w:rsid w:val="00E2132A"/>
    <w:rsid w:val="00E2512E"/>
    <w:rsid w:val="00E33D5F"/>
    <w:rsid w:val="00E5481C"/>
    <w:rsid w:val="00E644DA"/>
    <w:rsid w:val="00E6645A"/>
    <w:rsid w:val="00E67049"/>
    <w:rsid w:val="00E8345C"/>
    <w:rsid w:val="00E84FA8"/>
    <w:rsid w:val="00E85C1C"/>
    <w:rsid w:val="00EA29F4"/>
    <w:rsid w:val="00EA5C43"/>
    <w:rsid w:val="00EB709B"/>
    <w:rsid w:val="00EC1F35"/>
    <w:rsid w:val="00EC68CE"/>
    <w:rsid w:val="00ED573F"/>
    <w:rsid w:val="00EF72B9"/>
    <w:rsid w:val="00F00726"/>
    <w:rsid w:val="00F05D0A"/>
    <w:rsid w:val="00F3383F"/>
    <w:rsid w:val="00F44D7E"/>
    <w:rsid w:val="00F45876"/>
    <w:rsid w:val="00F4620E"/>
    <w:rsid w:val="00F47EC6"/>
    <w:rsid w:val="00F53FCE"/>
    <w:rsid w:val="00F56AA8"/>
    <w:rsid w:val="00F65521"/>
    <w:rsid w:val="00F7708F"/>
    <w:rsid w:val="00F80E87"/>
    <w:rsid w:val="00FB5007"/>
    <w:rsid w:val="00FB52B5"/>
    <w:rsid w:val="00FC1101"/>
    <w:rsid w:val="00FC4CEA"/>
    <w:rsid w:val="00FD04C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4739C75"/>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styleId="Hyperlink">
    <w:name w:val="Hyperlink"/>
    <w:basedOn w:val="a0"/>
    <w:uiPriority w:val="99"/>
    <w:semiHidden/>
    <w:unhideWhenUsed/>
    <w:rsid w:val="00CE2359"/>
    <w:rPr>
      <w:color w:val="0000FF"/>
      <w:u w:val="single"/>
    </w:rPr>
  </w:style>
  <w:style w:type="character" w:customStyle="1" w:styleId="ad">
    <w:name w:val="פיסקת רשימה תו"/>
    <w:basedOn w:val="a0"/>
    <w:link w:val="ac"/>
    <w:uiPriority w:val="34"/>
    <w:locked/>
    <w:rsid w:val="00507D6F"/>
    <w:rPr>
      <w:rFonts w:ascii="Times New Roman" w:hAnsi="Times New Roman" w:cs="David"/>
      <w:szCs w:val="24"/>
    </w:rPr>
  </w:style>
  <w:style w:type="paragraph" w:customStyle="1" w:styleId="31">
    <w:name w:val="פיסקת רשימה3"/>
    <w:basedOn w:val="a"/>
    <w:qFormat/>
    <w:rsid w:val="00507D6F"/>
    <w:pPr>
      <w:ind w:left="720"/>
    </w:pPr>
    <w:rPr>
      <w:rFonts w:eastAsia="Times New Roman"/>
    </w:rPr>
  </w:style>
  <w:style w:type="paragraph" w:styleId="ae">
    <w:name w:val="Quote"/>
    <w:basedOn w:val="a"/>
    <w:next w:val="a"/>
    <w:link w:val="af"/>
    <w:uiPriority w:val="29"/>
    <w:qFormat/>
    <w:rsid w:val="00507D6F"/>
    <w:pPr>
      <w:spacing w:before="200" w:after="160"/>
      <w:ind w:left="864" w:right="864"/>
      <w:jc w:val="center"/>
    </w:pPr>
    <w:rPr>
      <w:i/>
      <w:iCs/>
      <w:color w:val="404040" w:themeColor="text1" w:themeTint="BF"/>
    </w:rPr>
  </w:style>
  <w:style w:type="character" w:customStyle="1" w:styleId="af">
    <w:name w:val="ציטוט תו"/>
    <w:basedOn w:val="a0"/>
    <w:link w:val="ae"/>
    <w:uiPriority w:val="29"/>
    <w:rsid w:val="00507D6F"/>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70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443 763,'6'-7,"1"0,0-1,0 2,0-1,1 1,0 1,1 0,-1 0,1 1,-1-1,1 2,0 0,1 1,-1-1,0 2,1-1,15 1,6-1,116 2,-131 1,1 1,-1 0,-1 2,2 0,-2 1,26 11,-30-8,1 0,-1-1,-1 2,0 0,0 1,-1 0,9 13,55 83,-60-81,-1 2,-1-1,0 2,-3-1,0 1,-1 1,-2-1,0 1,1 49,-6-70,0 0,0 0,-1 1,-1-1,1 1,-2-1,1 0,0 0,-1-1,-1 1,1 0,-1-1,0 0,0 0,-1 0,0-1,0 1,0-1,-1-1,0 1,0-1,-1 0,1-1,-1 1,1-2,-1 1,-1 0,1-2,0 1,-13 2,-1-2,1 1,0-3,-1 0,1-2,-1 1,-25-6,26 0,1 0,0-1,1-2,-1 1,0-2,-19-15,24 15,-2-1,2 3,-2-1,0 2,-1 0,1 1,-1 1,-29-6,-14 6,-39-3,88 8,-1 1,0 0,0 1,0 1,1-1,-16 8,-33 12,39-15,-1 1,-30 17,45-22,1 2,0 0,-1 0,2 0,-1 0,0 1,2 0,-2 0,2 0,-1 1,-5 11,0 5,3 0,-1 0,1 0,2 1,0 0,1-1,1 1,2 0,0 1,1-1,5 40,-2-52,-1 0,1 0,0 1,8 13,-10-20,1-1,1 0,0 0,0-1,-1 1,2 0,-1-1,1 0,0 0,0 0,8 5,-11-8,0-1,0 1,0-1,0 0,1 0,-1 1,0-1,0 0,0 0,0 0,1-1,-1 1,0 0,1-1,-2 1,1-1,1 1,-1-1,0 0,0 1,0 0,0-1,0 0,0 0,0 0,-1 0,1 0,0 1,1-4,23-35,-22 35,17-34,-1 0,-1 0,-3-3,-1 1,-1-1,-2-1,-1 0,-3-2,-1 2,-2-2,-2 1,-1-1,-2 2,-10-76,-50-148,12 65,38 134,4 0,1 0,5-96,1 150,2 1,-1 0,2 0,0 0,0 1,1-1,1 1,-1 0,1 0,0 1,2 0,-1-1,1 2,0 0,0-1,1 2,0-1,1 1,17-11,-11 8,1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2156</Words>
  <Characters>10223</Characters>
  <Application>Microsoft Office Word</Application>
  <DocSecurity>0</DocSecurity>
  <Lines>220</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2/112/2024 החלטה</dc:title>
  <dc:creator>susyl</dc:creator>
  <cp:keywords>Produced By WeCo Office Accessibilty</cp:keywords>
  <dc:description>שלב 4 - טיפול בתמונות וקישורים
</dc:description>
  <cp:lastModifiedBy>LIOR ALOMI</cp:lastModifiedBy>
  <cp:revision>2</cp:revision>
  <cp:lastPrinted>2025-04-21T05:33:00Z</cp:lastPrinted>
  <dcterms:created xsi:type="dcterms:W3CDTF">2025-04-21T05:34:00Z</dcterms:created>
  <dcterms:modified xsi:type="dcterms:W3CDTF">2025-04-21T05:34:00Z</dcterms:modified>
  <cp:category>Clean Validation report was produced on: 21/04/2025 08:31:10</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