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932D3B" w:rsidRPr="008A7D76" w14:paraId="5453D467" w14:textId="77777777" w:rsidTr="001B0FDB">
        <w:trPr>
          <w:cantSplit/>
        </w:trPr>
        <w:tc>
          <w:tcPr>
            <w:tcW w:w="3118" w:type="dxa"/>
          </w:tcPr>
          <w:p w14:paraId="42524D9F" w14:textId="77777777" w:rsidR="00932D3B" w:rsidRPr="008A7D76" w:rsidRDefault="00932D3B" w:rsidP="00422C21">
            <w:pPr>
              <w:pStyle w:val="a6"/>
              <w:jc w:val="center"/>
              <w:rPr>
                <w:rFonts w:ascii="David" w:hAnsi="David"/>
                <w:b/>
                <w:bCs/>
                <w:sz w:val="24"/>
                <w:rtl/>
              </w:rPr>
            </w:pPr>
          </w:p>
        </w:tc>
        <w:tc>
          <w:tcPr>
            <w:tcW w:w="3686" w:type="dxa"/>
          </w:tcPr>
          <w:p w14:paraId="6A78A98F" w14:textId="77777777" w:rsidR="00932D3B" w:rsidRPr="008A7D76" w:rsidRDefault="00932D3B" w:rsidP="00422C21">
            <w:pPr>
              <w:pStyle w:val="a6"/>
              <w:jc w:val="center"/>
              <w:rPr>
                <w:rFonts w:ascii="David" w:hAnsi="David"/>
                <w:b/>
                <w:bCs/>
                <w:sz w:val="24"/>
                <w:rtl/>
              </w:rPr>
            </w:pPr>
          </w:p>
        </w:tc>
        <w:tc>
          <w:tcPr>
            <w:tcW w:w="4537" w:type="dxa"/>
          </w:tcPr>
          <w:p w14:paraId="320DBE8C" w14:textId="77777777" w:rsidR="00932D3B" w:rsidRPr="008A7D76" w:rsidRDefault="00932D3B" w:rsidP="00422C21">
            <w:pPr>
              <w:rPr>
                <w:rFonts w:ascii="David" w:hAnsi="David"/>
                <w:sz w:val="24"/>
                <w:rtl/>
              </w:rPr>
            </w:pPr>
            <w:r w:rsidRPr="008A7D76">
              <w:rPr>
                <w:rFonts w:ascii="David" w:hAnsi="David" w:hint="cs"/>
                <w:b/>
                <w:bCs/>
                <w:sz w:val="24"/>
                <w:rtl/>
              </w:rPr>
              <w:t xml:space="preserve">בפני כבוד </w:t>
            </w:r>
            <w:r>
              <w:rPr>
                <w:rFonts w:ascii="David" w:hAnsi="David" w:hint="cs"/>
                <w:b/>
                <w:bCs/>
                <w:noProof/>
                <w:sz w:val="24"/>
                <w:rtl/>
              </w:rPr>
              <w:t>ה</w:t>
            </w:r>
            <w:r>
              <w:rPr>
                <w:rFonts w:ascii="David" w:hAnsi="David"/>
                <w:b/>
                <w:bCs/>
                <w:noProof/>
                <w:sz w:val="24"/>
                <w:rtl/>
              </w:rPr>
              <w:t>מפקח</w:t>
            </w:r>
            <w:r>
              <w:rPr>
                <w:rFonts w:ascii="David" w:hAnsi="David" w:hint="cs"/>
                <w:b/>
                <w:bCs/>
                <w:noProof/>
                <w:sz w:val="24"/>
                <w:rtl/>
              </w:rPr>
              <w:t>ת הבכירה</w:t>
            </w:r>
            <w:r>
              <w:rPr>
                <w:rFonts w:ascii="David" w:hAnsi="David"/>
                <w:b/>
                <w:bCs/>
                <w:noProof/>
                <w:sz w:val="24"/>
                <w:rtl/>
              </w:rPr>
              <w:t xml:space="preserve"> על רישום מקרקעין</w:t>
            </w:r>
            <w:r>
              <w:t xml:space="preserve"> </w:t>
            </w:r>
            <w:r>
              <w:rPr>
                <w:rFonts w:ascii="David" w:hAnsi="David"/>
                <w:b/>
                <w:bCs/>
                <w:noProof/>
                <w:sz w:val="24"/>
                <w:rtl/>
              </w:rPr>
              <w:t>אביטל  שרייבר</w:t>
            </w:r>
          </w:p>
        </w:tc>
      </w:tr>
    </w:tbl>
    <w:p w14:paraId="2F086190" w14:textId="77777777" w:rsidR="00932D3B" w:rsidRPr="008A7D76" w:rsidRDefault="00932D3B" w:rsidP="00932D3B">
      <w:pPr>
        <w:spacing w:after="200" w:line="276" w:lineRule="auto"/>
        <w:contextualSpacing w:val="0"/>
        <w:rPr>
          <w:rFonts w:ascii="David" w:hAnsi="David"/>
          <w:b/>
          <w:bCs/>
          <w:sz w:val="24"/>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2"/>
        <w:gridCol w:w="1658"/>
        <w:gridCol w:w="691"/>
        <w:gridCol w:w="5668"/>
      </w:tblGrid>
      <w:tr w:rsidR="00932D3B" w14:paraId="69E4C6C0" w14:textId="77777777" w:rsidTr="001B0FDB">
        <w:trPr>
          <w:cantSplit/>
        </w:trPr>
        <w:tc>
          <w:tcPr>
            <w:tcW w:w="914" w:type="pct"/>
          </w:tcPr>
          <w:p w14:paraId="6F93AB99" w14:textId="77777777" w:rsidR="00932D3B" w:rsidRDefault="00932D3B" w:rsidP="00422C21">
            <w:pPr>
              <w:spacing w:before="100" w:beforeAutospacing="1" w:after="100" w:afterAutospacing="1" w:line="276" w:lineRule="auto"/>
              <w:rPr>
                <w:rFonts w:ascii="David" w:hAnsi="David"/>
                <w:sz w:val="24"/>
                <w:rtl/>
              </w:rPr>
            </w:pPr>
            <w:r>
              <w:rPr>
                <w:rFonts w:ascii="David" w:hAnsi="David"/>
                <w:sz w:val="24"/>
                <w:rtl/>
              </w:rPr>
              <w:t>תובעים</w:t>
            </w:r>
          </w:p>
        </w:tc>
        <w:tc>
          <w:tcPr>
            <w:tcW w:w="845" w:type="pct"/>
          </w:tcPr>
          <w:p w14:paraId="0F2B0811" w14:textId="77777777" w:rsidR="00932D3B" w:rsidRDefault="00932D3B" w:rsidP="00422C21">
            <w:pPr>
              <w:spacing w:before="100" w:beforeAutospacing="1" w:after="100" w:afterAutospacing="1"/>
              <w:rPr>
                <w:rFonts w:ascii="David" w:hAnsi="David"/>
                <w:sz w:val="24"/>
              </w:rPr>
            </w:pPr>
          </w:p>
        </w:tc>
        <w:tc>
          <w:tcPr>
            <w:tcW w:w="352" w:type="pct"/>
          </w:tcPr>
          <w:p w14:paraId="00E134D8" w14:textId="77777777" w:rsidR="00932D3B" w:rsidRDefault="00932D3B" w:rsidP="00422C21">
            <w:pPr>
              <w:spacing w:before="100" w:beforeAutospacing="1" w:after="100" w:afterAutospacing="1"/>
              <w:rPr>
                <w:rFonts w:ascii="David" w:hAnsi="David"/>
                <w:sz w:val="24"/>
              </w:rPr>
            </w:pPr>
            <w:r>
              <w:rPr>
                <w:rFonts w:ascii="David" w:hAnsi="David"/>
                <w:sz w:val="24"/>
                <w:rtl/>
              </w:rPr>
              <w:t>1</w:t>
            </w:r>
          </w:p>
        </w:tc>
        <w:tc>
          <w:tcPr>
            <w:tcW w:w="2888" w:type="pct"/>
          </w:tcPr>
          <w:p w14:paraId="5AB4EC94" w14:textId="0CC5B369" w:rsidR="00932D3B" w:rsidRPr="00932D3B" w:rsidRDefault="00932D3B" w:rsidP="00422C21">
            <w:pPr>
              <w:spacing w:before="100" w:beforeAutospacing="1" w:after="100" w:afterAutospacing="1" w:line="276" w:lineRule="auto"/>
              <w:rPr>
                <w:rFonts w:ascii="David" w:hAnsi="David"/>
                <w:b/>
                <w:bCs/>
                <w:sz w:val="24"/>
                <w:rtl/>
              </w:rPr>
            </w:pPr>
            <w:proofErr w:type="spellStart"/>
            <w:r w:rsidRPr="00932D3B">
              <w:rPr>
                <w:rFonts w:ascii="David" w:hAnsi="David"/>
                <w:b/>
                <w:bCs/>
                <w:sz w:val="24"/>
                <w:rtl/>
              </w:rPr>
              <w:t>בביאן</w:t>
            </w:r>
            <w:proofErr w:type="spellEnd"/>
            <w:r w:rsidRPr="00932D3B">
              <w:rPr>
                <w:rFonts w:ascii="David" w:hAnsi="David"/>
                <w:b/>
                <w:bCs/>
                <w:sz w:val="24"/>
                <w:rtl/>
              </w:rPr>
              <w:t xml:space="preserve"> יעל</w:t>
            </w:r>
          </w:p>
        </w:tc>
      </w:tr>
      <w:tr w:rsidR="00932D3B" w14:paraId="0B0F70E7" w14:textId="77777777" w:rsidTr="001B0FDB">
        <w:trPr>
          <w:cantSplit/>
        </w:trPr>
        <w:tc>
          <w:tcPr>
            <w:tcW w:w="914" w:type="pct"/>
          </w:tcPr>
          <w:p w14:paraId="08A9A904" w14:textId="77777777" w:rsidR="00932D3B" w:rsidRDefault="00932D3B" w:rsidP="00422C21">
            <w:pPr>
              <w:spacing w:before="100" w:beforeAutospacing="1" w:after="100" w:afterAutospacing="1" w:line="276" w:lineRule="auto"/>
              <w:rPr>
                <w:rFonts w:ascii="David" w:hAnsi="David"/>
                <w:sz w:val="24"/>
                <w:rtl/>
              </w:rPr>
            </w:pPr>
          </w:p>
        </w:tc>
        <w:tc>
          <w:tcPr>
            <w:tcW w:w="845" w:type="pct"/>
          </w:tcPr>
          <w:p w14:paraId="6FC5BC31" w14:textId="77777777" w:rsidR="00932D3B" w:rsidRDefault="00932D3B" w:rsidP="00422C21">
            <w:pPr>
              <w:spacing w:before="100" w:beforeAutospacing="1" w:after="100" w:afterAutospacing="1"/>
              <w:rPr>
                <w:rFonts w:ascii="David" w:hAnsi="David"/>
                <w:sz w:val="24"/>
              </w:rPr>
            </w:pPr>
          </w:p>
        </w:tc>
        <w:tc>
          <w:tcPr>
            <w:tcW w:w="352" w:type="pct"/>
          </w:tcPr>
          <w:p w14:paraId="0FD1976B" w14:textId="77777777" w:rsidR="00932D3B" w:rsidRDefault="00932D3B" w:rsidP="00422C21">
            <w:pPr>
              <w:spacing w:before="100" w:beforeAutospacing="1" w:after="100" w:afterAutospacing="1"/>
              <w:rPr>
                <w:rFonts w:ascii="David" w:hAnsi="David"/>
                <w:sz w:val="24"/>
              </w:rPr>
            </w:pPr>
            <w:r>
              <w:rPr>
                <w:rFonts w:ascii="David" w:hAnsi="David"/>
                <w:sz w:val="24"/>
                <w:rtl/>
              </w:rPr>
              <w:t>2</w:t>
            </w:r>
          </w:p>
        </w:tc>
        <w:tc>
          <w:tcPr>
            <w:tcW w:w="2888" w:type="pct"/>
          </w:tcPr>
          <w:p w14:paraId="76AAA1D5" w14:textId="30B472BD" w:rsidR="00932D3B" w:rsidRPr="00932D3B" w:rsidRDefault="00932D3B" w:rsidP="00422C21">
            <w:pPr>
              <w:spacing w:before="100" w:beforeAutospacing="1" w:after="100" w:afterAutospacing="1" w:line="276" w:lineRule="auto"/>
              <w:rPr>
                <w:rFonts w:ascii="David" w:hAnsi="David"/>
                <w:b/>
                <w:bCs/>
                <w:sz w:val="24"/>
                <w:rtl/>
              </w:rPr>
            </w:pPr>
            <w:proofErr w:type="spellStart"/>
            <w:r w:rsidRPr="00932D3B">
              <w:rPr>
                <w:rFonts w:ascii="David" w:hAnsi="David"/>
                <w:b/>
                <w:bCs/>
                <w:sz w:val="24"/>
                <w:rtl/>
              </w:rPr>
              <w:t>בביאן</w:t>
            </w:r>
            <w:proofErr w:type="spellEnd"/>
            <w:r w:rsidRPr="00932D3B">
              <w:rPr>
                <w:rFonts w:ascii="David" w:hAnsi="David"/>
                <w:b/>
                <w:bCs/>
                <w:sz w:val="24"/>
                <w:rtl/>
              </w:rPr>
              <w:t xml:space="preserve"> רמי</w:t>
            </w:r>
          </w:p>
        </w:tc>
      </w:tr>
      <w:tr w:rsidR="00932D3B" w14:paraId="474BE44D" w14:textId="77777777" w:rsidTr="001B0FDB">
        <w:trPr>
          <w:cantSplit/>
        </w:trPr>
        <w:tc>
          <w:tcPr>
            <w:tcW w:w="914" w:type="pct"/>
          </w:tcPr>
          <w:p w14:paraId="6A6AFF98" w14:textId="77777777" w:rsidR="00932D3B" w:rsidRDefault="00932D3B" w:rsidP="00422C21">
            <w:pPr>
              <w:spacing w:before="100" w:beforeAutospacing="1" w:after="100" w:afterAutospacing="1" w:line="276" w:lineRule="auto"/>
              <w:rPr>
                <w:rFonts w:ascii="David" w:hAnsi="David"/>
                <w:sz w:val="24"/>
                <w:rtl/>
              </w:rPr>
            </w:pPr>
          </w:p>
        </w:tc>
        <w:tc>
          <w:tcPr>
            <w:tcW w:w="845" w:type="pct"/>
          </w:tcPr>
          <w:p w14:paraId="25DC5478" w14:textId="77777777" w:rsidR="00932D3B" w:rsidRDefault="00932D3B" w:rsidP="00422C21">
            <w:pPr>
              <w:spacing w:before="100" w:beforeAutospacing="1" w:after="100" w:afterAutospacing="1"/>
              <w:rPr>
                <w:rFonts w:ascii="David" w:hAnsi="David"/>
                <w:sz w:val="24"/>
              </w:rPr>
            </w:pPr>
          </w:p>
        </w:tc>
        <w:tc>
          <w:tcPr>
            <w:tcW w:w="352" w:type="pct"/>
          </w:tcPr>
          <w:p w14:paraId="10A148CD" w14:textId="77777777" w:rsidR="00932D3B" w:rsidRDefault="00932D3B" w:rsidP="00422C21">
            <w:pPr>
              <w:spacing w:before="100" w:beforeAutospacing="1" w:after="100" w:afterAutospacing="1"/>
              <w:rPr>
                <w:rFonts w:ascii="David" w:hAnsi="David"/>
                <w:sz w:val="24"/>
              </w:rPr>
            </w:pPr>
          </w:p>
        </w:tc>
        <w:tc>
          <w:tcPr>
            <w:tcW w:w="2888" w:type="pct"/>
          </w:tcPr>
          <w:p w14:paraId="1672A5B6" w14:textId="77777777" w:rsidR="00932D3B" w:rsidRDefault="00932D3B" w:rsidP="00422C21">
            <w:pPr>
              <w:spacing w:before="100" w:beforeAutospacing="1" w:after="100" w:afterAutospacing="1" w:line="276" w:lineRule="auto"/>
              <w:rPr>
                <w:rFonts w:ascii="David" w:hAnsi="David"/>
                <w:sz w:val="24"/>
                <w:rtl/>
              </w:rPr>
            </w:pPr>
            <w:r>
              <w:rPr>
                <w:rFonts w:ascii="David" w:hAnsi="David"/>
                <w:sz w:val="24"/>
                <w:rtl/>
              </w:rPr>
              <w:t xml:space="preserve">באמצעות ב"כ: עו"ד </w:t>
            </w:r>
            <w:proofErr w:type="spellStart"/>
            <w:r>
              <w:rPr>
                <w:rFonts w:ascii="David" w:hAnsi="David"/>
                <w:sz w:val="24"/>
                <w:rtl/>
              </w:rPr>
              <w:t>בביאן</w:t>
            </w:r>
            <w:proofErr w:type="spellEnd"/>
            <w:r>
              <w:rPr>
                <w:rFonts w:ascii="David" w:hAnsi="David"/>
                <w:sz w:val="24"/>
                <w:rtl/>
              </w:rPr>
              <w:t xml:space="preserve"> רמי</w:t>
            </w:r>
            <w:r>
              <w:br/>
            </w:r>
            <w:r>
              <w:rPr>
                <w:rFonts w:ascii="David" w:hAnsi="David"/>
                <w:sz w:val="24"/>
                <w:rtl/>
              </w:rPr>
              <w:t>מדבר סיני 84, ירושלים</w:t>
            </w:r>
            <w:r>
              <w:br/>
            </w:r>
            <w:r>
              <w:rPr>
                <w:rFonts w:ascii="David" w:hAnsi="David"/>
                <w:sz w:val="24"/>
                <w:rtl/>
              </w:rPr>
              <w:t xml:space="preserve">טל':0522675048 </w:t>
            </w:r>
            <w:r>
              <w:br/>
            </w:r>
          </w:p>
        </w:tc>
      </w:tr>
      <w:tr w:rsidR="00932D3B" w14:paraId="68ADCFA8" w14:textId="77777777" w:rsidTr="001B0FDB">
        <w:trPr>
          <w:cantSplit/>
        </w:trPr>
        <w:tc>
          <w:tcPr>
            <w:tcW w:w="914" w:type="pct"/>
          </w:tcPr>
          <w:p w14:paraId="458225C1" w14:textId="77777777" w:rsidR="00932D3B" w:rsidRDefault="00932D3B" w:rsidP="00422C21">
            <w:pPr>
              <w:spacing w:before="100" w:beforeAutospacing="1" w:after="100" w:afterAutospacing="1" w:line="276" w:lineRule="auto"/>
              <w:rPr>
                <w:rFonts w:ascii="David" w:hAnsi="David"/>
                <w:sz w:val="24"/>
                <w:rtl/>
              </w:rPr>
            </w:pPr>
          </w:p>
        </w:tc>
        <w:tc>
          <w:tcPr>
            <w:tcW w:w="845" w:type="pct"/>
          </w:tcPr>
          <w:p w14:paraId="2CEF3767" w14:textId="77777777" w:rsidR="00932D3B" w:rsidRDefault="00932D3B" w:rsidP="00422C21">
            <w:pPr>
              <w:spacing w:before="100" w:beforeAutospacing="1" w:after="100" w:afterAutospacing="1"/>
              <w:rPr>
                <w:rFonts w:ascii="David" w:hAnsi="David"/>
                <w:sz w:val="24"/>
              </w:rPr>
            </w:pPr>
          </w:p>
        </w:tc>
        <w:tc>
          <w:tcPr>
            <w:tcW w:w="352" w:type="pct"/>
          </w:tcPr>
          <w:p w14:paraId="702D3F89" w14:textId="77777777" w:rsidR="00932D3B" w:rsidRDefault="00932D3B" w:rsidP="00422C21">
            <w:pPr>
              <w:spacing w:before="100" w:beforeAutospacing="1" w:after="100" w:afterAutospacing="1"/>
              <w:rPr>
                <w:rFonts w:ascii="David" w:hAnsi="David"/>
                <w:sz w:val="24"/>
              </w:rPr>
            </w:pPr>
            <w:r>
              <w:rPr>
                <w:rFonts w:ascii="David" w:hAnsi="David"/>
                <w:b/>
                <w:bCs/>
                <w:sz w:val="24"/>
                <w:rtl/>
              </w:rPr>
              <w:t>נגד</w:t>
            </w:r>
            <w:r>
              <w:br/>
            </w:r>
          </w:p>
        </w:tc>
        <w:tc>
          <w:tcPr>
            <w:tcW w:w="2888" w:type="pct"/>
          </w:tcPr>
          <w:p w14:paraId="12EB51CD" w14:textId="77777777" w:rsidR="00932D3B" w:rsidRDefault="00932D3B" w:rsidP="00422C21">
            <w:pPr>
              <w:spacing w:before="100" w:beforeAutospacing="1" w:after="100" w:afterAutospacing="1" w:line="276" w:lineRule="auto"/>
              <w:rPr>
                <w:rFonts w:ascii="David" w:hAnsi="David"/>
                <w:sz w:val="24"/>
                <w:rtl/>
              </w:rPr>
            </w:pPr>
          </w:p>
        </w:tc>
      </w:tr>
      <w:tr w:rsidR="00932D3B" w14:paraId="76884375" w14:textId="77777777" w:rsidTr="001B0FDB">
        <w:trPr>
          <w:cantSplit/>
        </w:trPr>
        <w:tc>
          <w:tcPr>
            <w:tcW w:w="914" w:type="pct"/>
          </w:tcPr>
          <w:p w14:paraId="6F0443FC" w14:textId="77777777" w:rsidR="00932D3B" w:rsidRDefault="00932D3B" w:rsidP="00422C21">
            <w:pPr>
              <w:spacing w:before="100" w:beforeAutospacing="1" w:after="100" w:afterAutospacing="1" w:line="276" w:lineRule="auto"/>
              <w:rPr>
                <w:rFonts w:ascii="David" w:hAnsi="David"/>
                <w:sz w:val="24"/>
                <w:rtl/>
              </w:rPr>
            </w:pPr>
            <w:r>
              <w:rPr>
                <w:rFonts w:ascii="David" w:hAnsi="David"/>
                <w:sz w:val="24"/>
                <w:rtl/>
              </w:rPr>
              <w:t>נתבע</w:t>
            </w:r>
            <w:r>
              <w:rPr>
                <w:rFonts w:ascii="David" w:hAnsi="David" w:hint="cs"/>
                <w:sz w:val="24"/>
                <w:rtl/>
              </w:rPr>
              <w:t>ת</w:t>
            </w:r>
          </w:p>
        </w:tc>
        <w:tc>
          <w:tcPr>
            <w:tcW w:w="845" w:type="pct"/>
          </w:tcPr>
          <w:p w14:paraId="11B1003A" w14:textId="77777777" w:rsidR="00932D3B" w:rsidRDefault="00932D3B" w:rsidP="00422C21">
            <w:pPr>
              <w:spacing w:before="100" w:beforeAutospacing="1" w:after="100" w:afterAutospacing="1"/>
              <w:rPr>
                <w:rFonts w:ascii="David" w:hAnsi="David"/>
                <w:sz w:val="24"/>
              </w:rPr>
            </w:pPr>
          </w:p>
        </w:tc>
        <w:tc>
          <w:tcPr>
            <w:tcW w:w="352" w:type="pct"/>
          </w:tcPr>
          <w:p w14:paraId="4E627747" w14:textId="77777777" w:rsidR="00932D3B" w:rsidRDefault="00932D3B" w:rsidP="00422C21">
            <w:pPr>
              <w:spacing w:before="100" w:beforeAutospacing="1" w:after="100" w:afterAutospacing="1"/>
              <w:rPr>
                <w:rFonts w:ascii="David" w:hAnsi="David"/>
                <w:sz w:val="24"/>
              </w:rPr>
            </w:pPr>
          </w:p>
        </w:tc>
        <w:tc>
          <w:tcPr>
            <w:tcW w:w="2888" w:type="pct"/>
          </w:tcPr>
          <w:p w14:paraId="3286C033" w14:textId="6F9094D5" w:rsidR="00932D3B" w:rsidRPr="00932D3B" w:rsidRDefault="00932D3B" w:rsidP="00422C21">
            <w:pPr>
              <w:spacing w:before="100" w:beforeAutospacing="1" w:after="100" w:afterAutospacing="1" w:line="276" w:lineRule="auto"/>
              <w:rPr>
                <w:rFonts w:ascii="David" w:hAnsi="David"/>
                <w:b/>
                <w:bCs/>
                <w:sz w:val="24"/>
                <w:rtl/>
              </w:rPr>
            </w:pPr>
            <w:r w:rsidRPr="00932D3B">
              <w:rPr>
                <w:rFonts w:ascii="David" w:hAnsi="David" w:hint="cs"/>
                <w:b/>
                <w:bCs/>
                <w:sz w:val="24"/>
                <w:rtl/>
              </w:rPr>
              <w:t>נציגות הבית המשותף ברחוב הרב קוק 7 בירושלים</w:t>
            </w:r>
          </w:p>
        </w:tc>
      </w:tr>
      <w:tr w:rsidR="00932D3B" w14:paraId="2AF12013" w14:textId="77777777" w:rsidTr="001B0FDB">
        <w:trPr>
          <w:cantSplit/>
        </w:trPr>
        <w:tc>
          <w:tcPr>
            <w:tcW w:w="914" w:type="pct"/>
          </w:tcPr>
          <w:p w14:paraId="6490E506" w14:textId="77777777" w:rsidR="00932D3B" w:rsidRDefault="00932D3B" w:rsidP="00422C21">
            <w:pPr>
              <w:spacing w:before="100" w:beforeAutospacing="1" w:after="100" w:afterAutospacing="1" w:line="276" w:lineRule="auto"/>
              <w:rPr>
                <w:rFonts w:ascii="David" w:hAnsi="David"/>
                <w:sz w:val="24"/>
                <w:rtl/>
              </w:rPr>
            </w:pPr>
          </w:p>
        </w:tc>
        <w:tc>
          <w:tcPr>
            <w:tcW w:w="845" w:type="pct"/>
          </w:tcPr>
          <w:p w14:paraId="25AF0B65" w14:textId="77777777" w:rsidR="00932D3B" w:rsidRDefault="00932D3B" w:rsidP="00422C21">
            <w:pPr>
              <w:spacing w:before="100" w:beforeAutospacing="1" w:after="100" w:afterAutospacing="1"/>
              <w:rPr>
                <w:rFonts w:ascii="David" w:hAnsi="David"/>
                <w:sz w:val="24"/>
              </w:rPr>
            </w:pPr>
          </w:p>
        </w:tc>
        <w:tc>
          <w:tcPr>
            <w:tcW w:w="352" w:type="pct"/>
          </w:tcPr>
          <w:p w14:paraId="4754F0F7" w14:textId="77777777" w:rsidR="00932D3B" w:rsidRDefault="00932D3B" w:rsidP="00422C21">
            <w:pPr>
              <w:spacing w:before="100" w:beforeAutospacing="1" w:after="100" w:afterAutospacing="1"/>
              <w:rPr>
                <w:rFonts w:ascii="David" w:hAnsi="David"/>
                <w:sz w:val="24"/>
              </w:rPr>
            </w:pPr>
          </w:p>
        </w:tc>
        <w:tc>
          <w:tcPr>
            <w:tcW w:w="2888" w:type="pct"/>
          </w:tcPr>
          <w:p w14:paraId="20AD1451" w14:textId="77777777" w:rsidR="00932D3B" w:rsidRDefault="00932D3B" w:rsidP="00422C21">
            <w:pPr>
              <w:spacing w:before="100" w:beforeAutospacing="1" w:after="100" w:afterAutospacing="1" w:line="276" w:lineRule="auto"/>
              <w:rPr>
                <w:rFonts w:ascii="David" w:hAnsi="David"/>
                <w:sz w:val="24"/>
                <w:rtl/>
              </w:rPr>
            </w:pPr>
            <w:r>
              <w:rPr>
                <w:rFonts w:ascii="David" w:hAnsi="David"/>
                <w:sz w:val="24"/>
                <w:rtl/>
              </w:rPr>
              <w:t>באמצעות ב"כ: עו"ד דהאן אוהד</w:t>
            </w:r>
            <w:r>
              <w:br/>
            </w:r>
            <w:r>
              <w:rPr>
                <w:rFonts w:ascii="David" w:hAnsi="David"/>
                <w:sz w:val="24"/>
                <w:rtl/>
              </w:rPr>
              <w:t>המלך ג'ורג' 20, ירושלים</w:t>
            </w:r>
            <w:r>
              <w:br/>
            </w:r>
            <w:r>
              <w:rPr>
                <w:rFonts w:ascii="David" w:hAnsi="David"/>
                <w:sz w:val="24"/>
                <w:rtl/>
              </w:rPr>
              <w:t xml:space="preserve">טל':0522686409 </w:t>
            </w:r>
            <w:r>
              <w:br/>
            </w:r>
          </w:p>
        </w:tc>
      </w:tr>
    </w:tbl>
    <w:p w14:paraId="7F6838AA" w14:textId="77777777" w:rsidR="00932D3B" w:rsidRPr="008A7D76" w:rsidRDefault="00932D3B" w:rsidP="00932D3B">
      <w:pPr>
        <w:contextualSpacing w:val="0"/>
        <w:rPr>
          <w:rFonts w:ascii="David" w:hAnsi="David"/>
          <w:sz w:val="24"/>
        </w:rPr>
      </w:pPr>
    </w:p>
    <w:p w14:paraId="5C52C1B3" w14:textId="77777777" w:rsidR="00932D3B" w:rsidRDefault="00932D3B" w:rsidP="001B0FDB">
      <w:pPr>
        <w:spacing w:before="200"/>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6DDDD840" w14:textId="77777777" w:rsidR="00932D3B" w:rsidRPr="008A7D76" w:rsidRDefault="00932D3B" w:rsidP="00932D3B">
      <w:pPr>
        <w:spacing w:before="200"/>
        <w:ind w:firstLine="720"/>
        <w:contextualSpacing w:val="0"/>
        <w:jc w:val="center"/>
        <w:rPr>
          <w:rFonts w:ascii="David" w:hAnsi="David"/>
          <w:b/>
          <w:bCs/>
          <w:sz w:val="32"/>
          <w:szCs w:val="32"/>
          <w:u w:val="single"/>
          <w:rtl/>
        </w:rPr>
      </w:pPr>
    </w:p>
    <w:p w14:paraId="72BE027D" w14:textId="77777777" w:rsidR="00932D3B" w:rsidRPr="000E7292" w:rsidRDefault="00932D3B" w:rsidP="00932D3B">
      <w:pPr>
        <w:spacing w:line="360" w:lineRule="auto"/>
        <w:jc w:val="both"/>
        <w:rPr>
          <w:rFonts w:ascii="David" w:hAnsi="David"/>
          <w:sz w:val="26"/>
          <w:szCs w:val="26"/>
          <w:rtl/>
        </w:rPr>
      </w:pPr>
      <w:r w:rsidRPr="000E7292">
        <w:rPr>
          <w:rFonts w:ascii="David" w:hAnsi="David"/>
          <w:sz w:val="26"/>
          <w:szCs w:val="26"/>
          <w:rtl/>
        </w:rPr>
        <w:t>עניינו של פסק דין זה הוא השאלה האם בעלי דירות בבית משותף רשאים להחליט שחלק מהרכוש המשותף המיועד לחניית רכבים יושכר ותמורתו תשולם לקופת הנציגות, חלף מתן זכות לבעלי הדירות לחנות בו על בסיס מקום פנוי.</w:t>
      </w:r>
    </w:p>
    <w:p w14:paraId="7E725D55" w14:textId="77777777" w:rsidR="00932D3B" w:rsidRPr="000E7292" w:rsidRDefault="00932D3B" w:rsidP="00932D3B">
      <w:pPr>
        <w:spacing w:line="360" w:lineRule="auto"/>
        <w:jc w:val="both"/>
        <w:rPr>
          <w:rFonts w:ascii="David" w:hAnsi="David"/>
          <w:sz w:val="26"/>
          <w:szCs w:val="26"/>
          <w:rtl/>
        </w:rPr>
      </w:pPr>
    </w:p>
    <w:p w14:paraId="047383B0" w14:textId="77777777" w:rsidR="00932D3B" w:rsidRPr="000E7292" w:rsidRDefault="00932D3B" w:rsidP="00932D3B">
      <w:pPr>
        <w:pStyle w:val="ac"/>
        <w:numPr>
          <w:ilvl w:val="0"/>
          <w:numId w:val="15"/>
        </w:numPr>
        <w:spacing w:line="360" w:lineRule="auto"/>
        <w:jc w:val="both"/>
        <w:rPr>
          <w:rFonts w:ascii="David" w:hAnsi="David"/>
          <w:sz w:val="26"/>
          <w:szCs w:val="26"/>
          <w:rtl/>
        </w:rPr>
      </w:pPr>
      <w:r w:rsidRPr="000E7292">
        <w:rPr>
          <w:rFonts w:ascii="David" w:hAnsi="David"/>
          <w:sz w:val="26"/>
          <w:szCs w:val="26"/>
          <w:rtl/>
        </w:rPr>
        <w:t>התובעים הם בעלי דירה בבית המשותף ברחוב הרב קוק 7 בירושלים הרשום כגוש 30050 חלקה 96 (להלן – הבית המשותף). הנתבעת היא נציגות הבית המשותף.</w:t>
      </w:r>
    </w:p>
    <w:p w14:paraId="5E8FA983" w14:textId="77777777" w:rsidR="00932D3B" w:rsidRPr="000E7292" w:rsidRDefault="00932D3B" w:rsidP="00932D3B">
      <w:pPr>
        <w:spacing w:line="360" w:lineRule="auto"/>
        <w:jc w:val="both"/>
        <w:rPr>
          <w:rFonts w:ascii="David" w:hAnsi="David"/>
          <w:sz w:val="26"/>
          <w:szCs w:val="26"/>
          <w:rtl/>
        </w:rPr>
      </w:pPr>
    </w:p>
    <w:p w14:paraId="4866F7BB" w14:textId="77777777" w:rsidR="00932D3B" w:rsidRPr="000E7292" w:rsidRDefault="00932D3B" w:rsidP="00932D3B">
      <w:pPr>
        <w:pStyle w:val="ac"/>
        <w:numPr>
          <w:ilvl w:val="0"/>
          <w:numId w:val="15"/>
        </w:numPr>
        <w:spacing w:line="360" w:lineRule="auto"/>
        <w:jc w:val="both"/>
        <w:rPr>
          <w:rFonts w:ascii="David" w:hAnsi="David"/>
          <w:sz w:val="26"/>
          <w:szCs w:val="26"/>
          <w:rtl/>
        </w:rPr>
      </w:pPr>
      <w:r w:rsidRPr="000E7292">
        <w:rPr>
          <w:rFonts w:ascii="David" w:hAnsi="David"/>
          <w:sz w:val="26"/>
          <w:szCs w:val="26"/>
          <w:rtl/>
        </w:rPr>
        <w:t>בבית המשותף 2 קומות חניה, ולחלק מהדירות הוצמדו חניות. עניינו של ההליך בחניה שלא הוצמדה למי מהדירות אלא מהווה חלק מהרכוש המשותף (להלן – החניה), הנמצאת בקרבת החניה הצמודה לדירת התובעים.</w:t>
      </w:r>
    </w:p>
    <w:p w14:paraId="313AA56A" w14:textId="77777777" w:rsidR="00932D3B" w:rsidRPr="000E7292" w:rsidRDefault="00932D3B" w:rsidP="00932D3B">
      <w:pPr>
        <w:spacing w:line="360" w:lineRule="auto"/>
        <w:jc w:val="both"/>
        <w:rPr>
          <w:rFonts w:ascii="David" w:hAnsi="David"/>
          <w:sz w:val="26"/>
          <w:szCs w:val="26"/>
          <w:rtl/>
        </w:rPr>
      </w:pPr>
    </w:p>
    <w:p w14:paraId="31E89D3D"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לטענת התובעים, נציג הנתבעת או מי מטעמו סגר את החניה בשרשרת ברזל כדי שלא לאפשר להם לעשות שימוש סביר בחניה זו. בהמשך הורה על הצבת מתקן שטיפה כדי למנוע מהתובעים לחנות במקום. פעולות נציג הנתבעת נעשו על דעתו, מבלי להביא את העניין להחלטת בעלי הדירות. </w:t>
      </w:r>
    </w:p>
    <w:p w14:paraId="43E4FCCF" w14:textId="77777777" w:rsidR="00932D3B" w:rsidRPr="000E7292" w:rsidRDefault="00932D3B" w:rsidP="00932D3B">
      <w:pPr>
        <w:pStyle w:val="ac"/>
        <w:spacing w:line="360" w:lineRule="auto"/>
        <w:rPr>
          <w:rFonts w:ascii="David" w:hAnsi="David"/>
          <w:sz w:val="26"/>
          <w:szCs w:val="26"/>
          <w:rtl/>
        </w:rPr>
      </w:pPr>
    </w:p>
    <w:p w14:paraId="42C36E43"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lastRenderedPageBreak/>
        <w:t xml:space="preserve">לאחר הגשת התביעה ולאחר שהוסרה השרשרת שחסמה את החניה, הביא נציג הנציגות לכך שרכבים שונים, של גורמים שאינם בעלי דירות, יחנו בחניה כדי למנוע אפשרות חניה מהתובעים, והרכבים האמורים פונו רק לאחר התערבות משטרה. </w:t>
      </w:r>
    </w:p>
    <w:p w14:paraId="5E69CABE" w14:textId="77777777" w:rsidR="00932D3B" w:rsidRPr="000E7292" w:rsidRDefault="00932D3B" w:rsidP="00932D3B">
      <w:pPr>
        <w:pStyle w:val="ac"/>
        <w:spacing w:line="360" w:lineRule="auto"/>
        <w:jc w:val="both"/>
        <w:rPr>
          <w:rFonts w:ascii="David" w:hAnsi="David"/>
          <w:sz w:val="26"/>
          <w:szCs w:val="26"/>
          <w:rtl/>
        </w:rPr>
      </w:pPr>
    </w:p>
    <w:p w14:paraId="1B93C307"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t xml:space="preserve">אין מצוקת חניה בחניון, ובמצב רגיל, כאשר רכב התובעים אינו חונה בחניה, החניה ריקה, שכן אחרים אינם מעוניינים בכך. יש לתובעים זכות לעשות שימוש סביר בחניה ולחנות בה על בסיס מקום פנוי, וכך גם ליתר בעלי הדירות. </w:t>
      </w:r>
    </w:p>
    <w:p w14:paraId="0EAD9B85" w14:textId="77777777" w:rsidR="00932D3B" w:rsidRPr="000E7292" w:rsidRDefault="00932D3B" w:rsidP="00932D3B">
      <w:pPr>
        <w:pStyle w:val="ac"/>
        <w:spacing w:line="360" w:lineRule="auto"/>
        <w:jc w:val="both"/>
        <w:rPr>
          <w:rFonts w:ascii="David" w:hAnsi="David"/>
          <w:sz w:val="26"/>
          <w:szCs w:val="26"/>
          <w:rtl/>
        </w:rPr>
      </w:pPr>
    </w:p>
    <w:p w14:paraId="3533E4BB"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t xml:space="preserve">לא קיימת זכות לנציגות לקבוע חזקה ייחודית בחניה למי מבעלי הדירות, גם לא בתשלום, אלא יש צורך בהסכמה של כל בעלי הדירות. החלטה לתת חזקה ייחודית למי מבעלי הדירות באופן הגורע מזכות בעל דירה אחרת לעשות בחניה האמורה שימוש סביר, אינה יכולה להתקבל ללא הסכמתו לאור סעיף 12 לתקנון המצוי, שכן היא פוגעת בבעל הדירה שלא נתן את הסכמתו. חזקה כאמור נחשבת חזקה ייחודית בין אם היא </w:t>
      </w:r>
      <w:proofErr w:type="spellStart"/>
      <w:r w:rsidRPr="000E7292">
        <w:rPr>
          <w:rFonts w:ascii="David" w:hAnsi="David"/>
          <w:sz w:val="26"/>
          <w:szCs w:val="26"/>
          <w:rtl/>
        </w:rPr>
        <w:t>נתנת</w:t>
      </w:r>
      <w:proofErr w:type="spellEnd"/>
      <w:r w:rsidRPr="000E7292">
        <w:rPr>
          <w:rFonts w:ascii="David" w:hAnsi="David"/>
          <w:sz w:val="26"/>
          <w:szCs w:val="26"/>
          <w:rtl/>
        </w:rPr>
        <w:t xml:space="preserve"> ליום, לשבוע, לחודש, לשנה או ללא הגבלה.</w:t>
      </w:r>
    </w:p>
    <w:p w14:paraId="22DAA23E" w14:textId="77777777" w:rsidR="00932D3B" w:rsidRPr="000E7292" w:rsidRDefault="00932D3B" w:rsidP="00932D3B">
      <w:pPr>
        <w:pStyle w:val="ac"/>
        <w:spacing w:line="360" w:lineRule="auto"/>
        <w:jc w:val="both"/>
        <w:rPr>
          <w:rFonts w:ascii="David" w:hAnsi="David"/>
          <w:sz w:val="26"/>
          <w:szCs w:val="26"/>
          <w:rtl/>
        </w:rPr>
      </w:pPr>
    </w:p>
    <w:p w14:paraId="388EE2DD"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t xml:space="preserve">חסימת החניה כדי שהתובעים לא יוכלו להשתמש בה נעשתה בשל נקמנות אישית של נציג הנציגות בתובעים. </w:t>
      </w:r>
    </w:p>
    <w:p w14:paraId="5CA216EB" w14:textId="77777777" w:rsidR="00932D3B" w:rsidRPr="000E7292" w:rsidRDefault="00932D3B" w:rsidP="00932D3B">
      <w:pPr>
        <w:spacing w:line="360" w:lineRule="auto"/>
        <w:jc w:val="both"/>
        <w:rPr>
          <w:rFonts w:ascii="David" w:hAnsi="David"/>
          <w:sz w:val="26"/>
          <w:szCs w:val="26"/>
          <w:rtl/>
        </w:rPr>
      </w:pPr>
    </w:p>
    <w:p w14:paraId="51561F05"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לטענת הנתבעת, הסעד נשוא התביעה בנוגע לשרשרת התייתר לאחר הדיון בבקשה לסעד זמני לאור הסכמת הצדדים, בהמשך הוחלט </w:t>
      </w:r>
      <w:proofErr w:type="spellStart"/>
      <w:r w:rsidRPr="000E7292">
        <w:rPr>
          <w:rFonts w:ascii="David" w:hAnsi="David"/>
          <w:sz w:val="26"/>
          <w:szCs w:val="26"/>
          <w:rtl/>
        </w:rPr>
        <w:t>באסיפה</w:t>
      </w:r>
      <w:proofErr w:type="spellEnd"/>
      <w:r w:rsidRPr="000E7292">
        <w:rPr>
          <w:rFonts w:ascii="David" w:hAnsi="David"/>
          <w:sz w:val="26"/>
          <w:szCs w:val="26"/>
          <w:rtl/>
        </w:rPr>
        <w:t xml:space="preserve"> כללית של בעלי הדירות ששטח החניה יושכר בתשלום חודשי והתמורה תשמש להוצאות הנציגות. </w:t>
      </w:r>
    </w:p>
    <w:p w14:paraId="6FF0E100" w14:textId="77777777" w:rsidR="00932D3B" w:rsidRPr="000E7292" w:rsidRDefault="00932D3B" w:rsidP="00932D3B">
      <w:pPr>
        <w:pStyle w:val="ac"/>
        <w:spacing w:line="360" w:lineRule="auto"/>
        <w:jc w:val="both"/>
        <w:rPr>
          <w:rFonts w:ascii="David" w:hAnsi="David"/>
          <w:sz w:val="26"/>
          <w:szCs w:val="26"/>
          <w:rtl/>
        </w:rPr>
      </w:pPr>
    </w:p>
    <w:p w14:paraId="06F4A335"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t xml:space="preserve">לטענתה, אין המדובר בגריעת שטח מהרכוש המשותף והצמדתו לדירה מסוימת, ולא בהקניית זכות שימוש ייחודית, אלא בהחלטת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ברוב קולות לעניין זכות שימוש לשנה. </w:t>
      </w:r>
    </w:p>
    <w:p w14:paraId="7225D270" w14:textId="77777777" w:rsidR="00932D3B" w:rsidRPr="000E7292" w:rsidRDefault="00932D3B" w:rsidP="00932D3B">
      <w:pPr>
        <w:pStyle w:val="ac"/>
        <w:spacing w:line="360" w:lineRule="auto"/>
        <w:jc w:val="both"/>
        <w:rPr>
          <w:rFonts w:ascii="David" w:hAnsi="David"/>
          <w:sz w:val="26"/>
          <w:szCs w:val="26"/>
          <w:rtl/>
        </w:rPr>
      </w:pPr>
    </w:p>
    <w:p w14:paraId="3006F6A5"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t xml:space="preserve">כמו כן לטענתה, זכות כאמור אינה יכולה להיחשב כייחודית שעה שנתנה לתובע זכות לשכור את החניה לפני הצעתה לדיירים אחרים. לטענתה, התובע הוא שעשה שימוש ייחודי בחניה במשך יותר מ-10 שנים. </w:t>
      </w:r>
    </w:p>
    <w:p w14:paraId="1630D769" w14:textId="77777777" w:rsidR="00932D3B" w:rsidRPr="000E7292" w:rsidRDefault="00932D3B" w:rsidP="00932D3B">
      <w:pPr>
        <w:spacing w:line="360" w:lineRule="auto"/>
        <w:jc w:val="both"/>
        <w:rPr>
          <w:rFonts w:ascii="David" w:hAnsi="David"/>
          <w:sz w:val="26"/>
          <w:szCs w:val="26"/>
          <w:rtl/>
        </w:rPr>
      </w:pPr>
    </w:p>
    <w:p w14:paraId="6AC484D9" w14:textId="77777777" w:rsidR="00932D3B" w:rsidRPr="000E7292" w:rsidRDefault="00932D3B" w:rsidP="001B0FDB">
      <w:pPr>
        <w:spacing w:line="360" w:lineRule="auto"/>
        <w:jc w:val="both"/>
        <w:outlineLvl w:val="0"/>
        <w:rPr>
          <w:rFonts w:ascii="David" w:hAnsi="David"/>
          <w:b/>
          <w:bCs/>
          <w:sz w:val="26"/>
          <w:szCs w:val="26"/>
          <w:u w:val="single"/>
          <w:rtl/>
        </w:rPr>
      </w:pPr>
      <w:r w:rsidRPr="000E7292">
        <w:rPr>
          <w:rFonts w:ascii="David" w:hAnsi="David"/>
          <w:b/>
          <w:bCs/>
          <w:sz w:val="26"/>
          <w:szCs w:val="26"/>
          <w:u w:val="single"/>
          <w:rtl/>
        </w:rPr>
        <w:t>ההליך</w:t>
      </w:r>
    </w:p>
    <w:p w14:paraId="10297165" w14:textId="77777777" w:rsidR="00932D3B" w:rsidRPr="000E7292" w:rsidRDefault="00932D3B" w:rsidP="00932D3B">
      <w:pPr>
        <w:spacing w:line="360" w:lineRule="auto"/>
        <w:jc w:val="both"/>
        <w:rPr>
          <w:rFonts w:ascii="David" w:hAnsi="David"/>
          <w:b/>
          <w:bCs/>
          <w:sz w:val="26"/>
          <w:szCs w:val="26"/>
          <w:u w:val="single"/>
          <w:rtl/>
        </w:rPr>
      </w:pPr>
    </w:p>
    <w:p w14:paraId="20EFED36"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ביום 1.5.2024 הוגש כתב התביעה נשוא ההליך ובמקביל הגישו התובעים בקשה לסעד זמני. ביום 6.5.2024 התקיים דיון בבקשה לסעד זמני, בסיומו הגיעו הצדדים להסכמות שקיבלו תוקף של החלטה בסעד הזמני שעיקרן - שהחניה תשמש כחניה על בסיס מזדמן לכל בעלי הדירות ולשוכרים מטעמם באופן שאף אחד מבעלי הדירות או השוכרים מטעמם ישאיר רכב בחניה ליותר מ-24 שעות ברצף, עד לקבלת החלטת אסיפה כללית כדין באשר לשימוש במקום האמור. כן הוסכם שלא יוצבו חפצים מחסומים או שרשראות שיפריעו לחניה עד לקבלת החלטה של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ובהתאם לאותה החלטה. </w:t>
      </w:r>
    </w:p>
    <w:p w14:paraId="2F6BE8F7" w14:textId="77777777" w:rsidR="00932D3B" w:rsidRPr="000E7292" w:rsidRDefault="00932D3B" w:rsidP="00932D3B">
      <w:pPr>
        <w:pStyle w:val="ac"/>
        <w:spacing w:line="360" w:lineRule="auto"/>
        <w:jc w:val="both"/>
        <w:rPr>
          <w:rFonts w:ascii="David" w:hAnsi="David"/>
          <w:sz w:val="26"/>
          <w:szCs w:val="26"/>
        </w:rPr>
      </w:pPr>
    </w:p>
    <w:p w14:paraId="59D515FC"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ביום 27.11.2024 התקיים דיון </w:t>
      </w:r>
      <w:proofErr w:type="spellStart"/>
      <w:r w:rsidRPr="000E7292">
        <w:rPr>
          <w:rFonts w:ascii="David" w:hAnsi="David"/>
          <w:sz w:val="26"/>
          <w:szCs w:val="26"/>
          <w:rtl/>
        </w:rPr>
        <w:t>קד"מ</w:t>
      </w:r>
      <w:proofErr w:type="spellEnd"/>
      <w:r w:rsidRPr="000E7292">
        <w:rPr>
          <w:rFonts w:ascii="David" w:hAnsi="David"/>
          <w:sz w:val="26"/>
          <w:szCs w:val="26"/>
          <w:rtl/>
        </w:rPr>
        <w:t xml:space="preserve"> בהליך העיקרי, במסגרתו הגיעו הצדדים להסכמה דיונית כדלקמן:</w:t>
      </w:r>
    </w:p>
    <w:p w14:paraId="5EB93E9C" w14:textId="77777777" w:rsidR="00932D3B" w:rsidRPr="000E7292" w:rsidRDefault="00932D3B" w:rsidP="00932D3B">
      <w:pPr>
        <w:pStyle w:val="ac"/>
        <w:spacing w:line="360" w:lineRule="auto"/>
        <w:rPr>
          <w:rFonts w:ascii="David" w:hAnsi="David"/>
          <w:sz w:val="26"/>
          <w:szCs w:val="26"/>
          <w:rtl/>
        </w:rPr>
      </w:pPr>
    </w:p>
    <w:p w14:paraId="03A3CD41" w14:textId="77777777" w:rsidR="00932D3B" w:rsidRPr="000E7292" w:rsidRDefault="00932D3B" w:rsidP="00932D3B">
      <w:pPr>
        <w:pStyle w:val="ac"/>
        <w:spacing w:line="360" w:lineRule="auto"/>
        <w:jc w:val="both"/>
        <w:rPr>
          <w:rFonts w:ascii="David" w:hAnsi="David"/>
          <w:sz w:val="26"/>
          <w:szCs w:val="26"/>
        </w:rPr>
      </w:pPr>
      <w:r w:rsidRPr="000E7292">
        <w:rPr>
          <w:rFonts w:ascii="David" w:hAnsi="David"/>
          <w:noProof/>
          <w:sz w:val="26"/>
          <w:szCs w:val="26"/>
        </w:rPr>
        <w:drawing>
          <wp:inline distT="0" distB="0" distL="0" distR="0" wp14:anchorId="2811EA86" wp14:editId="340C81DD">
            <wp:extent cx="4856194" cy="1158019"/>
            <wp:effectExtent l="0" t="0" r="1905" b="4445"/>
            <wp:docPr id="2" name="תמונה 2" descr="ציטו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descr="ציטוט"/>
                    <pic:cNvPicPr/>
                  </pic:nvPicPr>
                  <pic:blipFill rotWithShape="1">
                    <a:blip r:embed="rId11"/>
                    <a:srcRect l="20981" t="62395" r="27014" b="17762"/>
                    <a:stretch/>
                  </pic:blipFill>
                  <pic:spPr bwMode="auto">
                    <a:xfrm>
                      <a:off x="0" y="0"/>
                      <a:ext cx="4920084" cy="1173254"/>
                    </a:xfrm>
                    <a:prstGeom prst="rect">
                      <a:avLst/>
                    </a:prstGeom>
                    <a:ln>
                      <a:noFill/>
                    </a:ln>
                    <a:extLst>
                      <a:ext uri="{53640926-AAD7-44D8-BBD7-CCE9431645EC}">
                        <a14:shadowObscured xmlns:a14="http://schemas.microsoft.com/office/drawing/2010/main"/>
                      </a:ext>
                    </a:extLst>
                  </pic:spPr>
                </pic:pic>
              </a:graphicData>
            </a:graphic>
          </wp:inline>
        </w:drawing>
      </w:r>
    </w:p>
    <w:p w14:paraId="3E05DD47"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t xml:space="preserve"> </w:t>
      </w:r>
    </w:p>
    <w:p w14:paraId="0206BC25"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לאחר מכן סיכמו הצדדים את טענותיהם. </w:t>
      </w:r>
    </w:p>
    <w:p w14:paraId="576C98A1" w14:textId="77777777" w:rsidR="00932D3B" w:rsidRPr="000E7292" w:rsidRDefault="00932D3B" w:rsidP="00932D3B">
      <w:pPr>
        <w:pStyle w:val="ac"/>
        <w:spacing w:line="360" w:lineRule="auto"/>
        <w:jc w:val="both"/>
        <w:rPr>
          <w:rFonts w:ascii="David" w:hAnsi="David"/>
          <w:sz w:val="26"/>
          <w:szCs w:val="26"/>
        </w:rPr>
      </w:pPr>
    </w:p>
    <w:p w14:paraId="7C283360"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לאחר סיכומי הצדדים הוצע להם להגיע להסכמות הכוללות שינוי מסוים מהצו הזמני והצדדים התבקשו להודיע בתוך מועד שנקבע האם הם מסכימים להצעה. ביום 1.12.2024 הודיעה הנתבעת שאינה מסכימה להצעה.</w:t>
      </w:r>
    </w:p>
    <w:p w14:paraId="2D47E762" w14:textId="77777777" w:rsidR="00932D3B" w:rsidRPr="000E7292" w:rsidRDefault="00932D3B" w:rsidP="00932D3B">
      <w:pPr>
        <w:pStyle w:val="ac"/>
        <w:spacing w:line="360" w:lineRule="auto"/>
        <w:rPr>
          <w:rFonts w:ascii="David" w:hAnsi="David"/>
          <w:sz w:val="26"/>
          <w:szCs w:val="26"/>
          <w:rtl/>
        </w:rPr>
      </w:pPr>
    </w:p>
    <w:p w14:paraId="3A8457AB" w14:textId="77777777" w:rsidR="00932D3B" w:rsidRPr="000E7292" w:rsidRDefault="00932D3B" w:rsidP="001B0FDB">
      <w:pPr>
        <w:spacing w:line="360" w:lineRule="auto"/>
        <w:jc w:val="both"/>
        <w:outlineLvl w:val="0"/>
        <w:rPr>
          <w:rFonts w:ascii="David" w:hAnsi="David"/>
          <w:b/>
          <w:bCs/>
          <w:sz w:val="26"/>
          <w:szCs w:val="26"/>
          <w:u w:val="single"/>
          <w:rtl/>
        </w:rPr>
      </w:pPr>
      <w:r w:rsidRPr="000E7292">
        <w:rPr>
          <w:rFonts w:ascii="David" w:hAnsi="David"/>
          <w:b/>
          <w:bCs/>
          <w:sz w:val="26"/>
          <w:szCs w:val="26"/>
          <w:u w:val="single"/>
          <w:rtl/>
        </w:rPr>
        <w:t>דיון והכרעה</w:t>
      </w:r>
    </w:p>
    <w:p w14:paraId="02241663"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העובדות הנדרשות לצורך מתן הכרעה בהליך דנן אינן שנויות במחלוקת. אין מחלוקת שהחניה הנדונה היא רכוש משותף, ושהשימוש העיקרי בנעשה בה היה לחניית רכב התובעים. כמו כן אין מחלוקת </w:t>
      </w:r>
      <w:proofErr w:type="spellStart"/>
      <w:r w:rsidRPr="000E7292">
        <w:rPr>
          <w:rFonts w:ascii="David" w:hAnsi="David"/>
          <w:sz w:val="26"/>
          <w:szCs w:val="26"/>
          <w:rtl/>
        </w:rPr>
        <w:t>שהאסיפה</w:t>
      </w:r>
      <w:proofErr w:type="spellEnd"/>
      <w:r w:rsidRPr="000E7292">
        <w:rPr>
          <w:rFonts w:ascii="David" w:hAnsi="David"/>
          <w:sz w:val="26"/>
          <w:szCs w:val="26"/>
          <w:rtl/>
        </w:rPr>
        <w:t xml:space="preserve"> הכללית החליטה, לאחר הגשת התביעה, להשכיר שטחים משותפים, לרבות את שטח החניה הנדונה, למי </w:t>
      </w:r>
      <w:r w:rsidRPr="000E7292">
        <w:rPr>
          <w:rFonts w:ascii="David" w:hAnsi="David"/>
          <w:sz w:val="26"/>
          <w:szCs w:val="26"/>
          <w:rtl/>
        </w:rPr>
        <w:lastRenderedPageBreak/>
        <w:t xml:space="preserve">מבעלי הדירות, והתובעים התנגדו להחלטה זו, וכן נתנה לתובעים זכות ראשונים לשכור את החניה, אך הם סרבו. </w:t>
      </w:r>
    </w:p>
    <w:p w14:paraId="3D7B9095" w14:textId="77777777" w:rsidR="00932D3B" w:rsidRPr="000E7292" w:rsidRDefault="00932D3B" w:rsidP="00932D3B">
      <w:pPr>
        <w:pStyle w:val="ac"/>
        <w:spacing w:line="360" w:lineRule="auto"/>
        <w:jc w:val="both"/>
        <w:rPr>
          <w:rFonts w:ascii="David" w:hAnsi="David"/>
          <w:sz w:val="26"/>
          <w:szCs w:val="26"/>
        </w:rPr>
      </w:pPr>
    </w:p>
    <w:p w14:paraId="48667BF2"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t xml:space="preserve">סעיף 62 </w:t>
      </w:r>
      <w:r w:rsidRPr="000E7292">
        <w:rPr>
          <w:rFonts w:ascii="David" w:hAnsi="David"/>
          <w:b/>
          <w:bCs/>
          <w:sz w:val="26"/>
          <w:szCs w:val="26"/>
          <w:rtl/>
        </w:rPr>
        <w:t>לחוק המקרקעין, תשכ"ט – 1969</w:t>
      </w:r>
      <w:r w:rsidRPr="000E7292">
        <w:rPr>
          <w:rFonts w:ascii="David" w:hAnsi="David"/>
          <w:sz w:val="26"/>
          <w:szCs w:val="26"/>
          <w:rtl/>
        </w:rPr>
        <w:t xml:space="preserve"> (להלן – </w:t>
      </w:r>
      <w:r w:rsidRPr="00864B38">
        <w:rPr>
          <w:rFonts w:ascii="David" w:hAnsi="David"/>
          <w:b/>
          <w:bCs/>
          <w:sz w:val="26"/>
          <w:szCs w:val="26"/>
          <w:rtl/>
        </w:rPr>
        <w:t>חוק המקרקעין</w:t>
      </w:r>
      <w:r w:rsidRPr="000E7292">
        <w:rPr>
          <w:rFonts w:ascii="David" w:hAnsi="David"/>
          <w:sz w:val="26"/>
          <w:szCs w:val="26"/>
          <w:rtl/>
        </w:rPr>
        <w:t xml:space="preserve">) קובע שהצמדה של חלק מסוים מהרכוש המשותף לדירה פלונית, דורשת הסכמה של כל בעלי הדירות. בפסיקה נקבע שגם מתן זכות שימוש ייחודית למי מבעלי הדירות בשטח מסוים מהרכוש המשותף דורשת הסכמה של כל בעלי הדירות. בפסיקה האמורה ההתייחסות למתן זכות שימוש ייחודית הדורשת הסכמה כאמור, היא למתן זכות שימוש ייחודית שמשמעותה </w:t>
      </w:r>
      <w:r w:rsidRPr="000E7292">
        <w:rPr>
          <w:rFonts w:ascii="David" w:hAnsi="David"/>
          <w:b/>
          <w:bCs/>
          <w:sz w:val="26"/>
          <w:szCs w:val="26"/>
          <w:rtl/>
        </w:rPr>
        <w:t>שלילה לצמיתות</w:t>
      </w:r>
      <w:r w:rsidRPr="000E7292">
        <w:rPr>
          <w:rFonts w:ascii="David" w:hAnsi="David"/>
          <w:sz w:val="26"/>
          <w:szCs w:val="26"/>
          <w:rtl/>
        </w:rPr>
        <w:t xml:space="preserve"> של זכות מי מבעלי הדירות להשתמש בשטח [ר' ע"א 2525/92 </w:t>
      </w:r>
      <w:proofErr w:type="spellStart"/>
      <w:r w:rsidRPr="000E7292">
        <w:rPr>
          <w:rFonts w:ascii="David" w:hAnsi="David"/>
          <w:b/>
          <w:bCs/>
          <w:sz w:val="26"/>
          <w:szCs w:val="26"/>
          <w:rtl/>
        </w:rPr>
        <w:t>ראוכרברג</w:t>
      </w:r>
      <w:proofErr w:type="spellEnd"/>
      <w:r w:rsidRPr="000E7292">
        <w:rPr>
          <w:rFonts w:ascii="David" w:hAnsi="David"/>
          <w:b/>
          <w:bCs/>
          <w:sz w:val="26"/>
          <w:szCs w:val="26"/>
          <w:rtl/>
        </w:rPr>
        <w:t xml:space="preserve"> נ' עיריית רמת גן</w:t>
      </w:r>
      <w:r w:rsidRPr="000E7292">
        <w:rPr>
          <w:rFonts w:ascii="David" w:hAnsi="David"/>
          <w:sz w:val="26"/>
          <w:szCs w:val="26"/>
          <w:rtl/>
        </w:rPr>
        <w:t xml:space="preserve">, </w:t>
      </w:r>
      <w:proofErr w:type="spellStart"/>
      <w:r w:rsidRPr="000E7292">
        <w:rPr>
          <w:rFonts w:ascii="David" w:hAnsi="David"/>
          <w:sz w:val="26"/>
          <w:szCs w:val="26"/>
          <w:rtl/>
        </w:rPr>
        <w:t>מז</w:t>
      </w:r>
      <w:proofErr w:type="spellEnd"/>
      <w:r w:rsidRPr="000E7292">
        <w:rPr>
          <w:rFonts w:ascii="David" w:hAnsi="David"/>
          <w:sz w:val="26"/>
          <w:szCs w:val="26"/>
          <w:rtl/>
        </w:rPr>
        <w:t xml:space="preserve"> (5) 850 (1993), בעמ' 856; רע"א 698/85 </w:t>
      </w:r>
      <w:r w:rsidRPr="000E7292">
        <w:rPr>
          <w:rFonts w:ascii="David" w:hAnsi="David"/>
          <w:b/>
          <w:bCs/>
          <w:sz w:val="26"/>
          <w:szCs w:val="26"/>
          <w:rtl/>
        </w:rPr>
        <w:t>בן צור נ' נעים ששון</w:t>
      </w:r>
      <w:r w:rsidRPr="000E7292">
        <w:rPr>
          <w:rFonts w:ascii="David" w:hAnsi="David"/>
          <w:sz w:val="26"/>
          <w:szCs w:val="26"/>
          <w:rtl/>
        </w:rPr>
        <w:t xml:space="preserve"> </w:t>
      </w:r>
      <w:proofErr w:type="spellStart"/>
      <w:r w:rsidRPr="000E7292">
        <w:rPr>
          <w:rFonts w:ascii="David" w:hAnsi="David"/>
          <w:sz w:val="26"/>
          <w:szCs w:val="26"/>
          <w:rtl/>
        </w:rPr>
        <w:t>מא</w:t>
      </w:r>
      <w:proofErr w:type="spellEnd"/>
      <w:r w:rsidRPr="000E7292">
        <w:rPr>
          <w:rFonts w:ascii="David" w:hAnsi="David"/>
          <w:sz w:val="26"/>
          <w:szCs w:val="26"/>
          <w:rtl/>
        </w:rPr>
        <w:t xml:space="preserve">(3) 144 (1987), בעמ' 151]. </w:t>
      </w:r>
    </w:p>
    <w:p w14:paraId="1EADDF43" w14:textId="77777777" w:rsidR="00932D3B" w:rsidRPr="000E7292" w:rsidRDefault="00932D3B" w:rsidP="00932D3B">
      <w:pPr>
        <w:pStyle w:val="ac"/>
        <w:spacing w:line="360" w:lineRule="auto"/>
        <w:jc w:val="both"/>
        <w:rPr>
          <w:rFonts w:ascii="David" w:hAnsi="David"/>
          <w:sz w:val="26"/>
          <w:szCs w:val="26"/>
          <w:rtl/>
        </w:rPr>
      </w:pPr>
    </w:p>
    <w:p w14:paraId="0F5AD9D8"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החלטה לעניין אופי השימוש הנעשה ברכוש המשותף, היא החלטה שיכולה להתקבל ברוב דעות </w:t>
      </w:r>
      <w:proofErr w:type="spellStart"/>
      <w:r w:rsidRPr="000E7292">
        <w:rPr>
          <w:rFonts w:ascii="David" w:hAnsi="David"/>
          <w:sz w:val="26"/>
          <w:szCs w:val="26"/>
          <w:rtl/>
        </w:rPr>
        <w:t>באסיפה</w:t>
      </w:r>
      <w:proofErr w:type="spellEnd"/>
      <w:r w:rsidRPr="000E7292">
        <w:rPr>
          <w:rFonts w:ascii="David" w:hAnsi="David"/>
          <w:sz w:val="26"/>
          <w:szCs w:val="26"/>
          <w:rtl/>
        </w:rPr>
        <w:t xml:space="preserve"> הכללית [סעיף 12(א) לתקנון המצוי] אולם לא ניתן לשנות בהחלטה כאמור זכויות של בעל דירה ללא הסכמתו [סעיף 12(ב) לתקנון המצוי]. לבית המשותף דנן תקנון מוסכם, אולם אין בתקנון המוסכם הוראה הנוגעת לעניינים אלו, ועל כן לאור הוראת סעיף 64 </w:t>
      </w:r>
      <w:r w:rsidRPr="00864B38">
        <w:rPr>
          <w:rFonts w:ascii="David" w:hAnsi="David"/>
          <w:b/>
          <w:bCs/>
          <w:sz w:val="26"/>
          <w:szCs w:val="26"/>
          <w:rtl/>
        </w:rPr>
        <w:t>לחוק המקרקעין</w:t>
      </w:r>
      <w:r w:rsidRPr="000E7292">
        <w:rPr>
          <w:rFonts w:ascii="David" w:hAnsi="David"/>
          <w:sz w:val="26"/>
          <w:szCs w:val="26"/>
          <w:rtl/>
        </w:rPr>
        <w:t>, חל סעיף 12 האמור לתקנון המצוי.</w:t>
      </w:r>
    </w:p>
    <w:p w14:paraId="2B63F868" w14:textId="77777777" w:rsidR="00932D3B" w:rsidRPr="000E7292" w:rsidRDefault="00932D3B" w:rsidP="00932D3B">
      <w:pPr>
        <w:pStyle w:val="ac"/>
        <w:spacing w:line="360" w:lineRule="auto"/>
        <w:rPr>
          <w:rFonts w:ascii="David" w:hAnsi="David"/>
          <w:sz w:val="26"/>
          <w:szCs w:val="26"/>
          <w:rtl/>
        </w:rPr>
      </w:pPr>
    </w:p>
    <w:p w14:paraId="353D6574" w14:textId="77777777" w:rsidR="00932D3B" w:rsidRPr="000E7292" w:rsidRDefault="00932D3B" w:rsidP="00932D3B">
      <w:pPr>
        <w:pStyle w:val="ac"/>
        <w:numPr>
          <w:ilvl w:val="0"/>
          <w:numId w:val="16"/>
        </w:numPr>
        <w:spacing w:line="360" w:lineRule="auto"/>
        <w:jc w:val="both"/>
        <w:rPr>
          <w:rFonts w:ascii="David" w:hAnsi="David"/>
          <w:sz w:val="26"/>
          <w:szCs w:val="26"/>
        </w:rPr>
      </w:pPr>
      <w:r w:rsidRPr="000E7292">
        <w:rPr>
          <w:rFonts w:ascii="David" w:hAnsi="David"/>
          <w:sz w:val="26"/>
          <w:szCs w:val="26"/>
          <w:rtl/>
        </w:rPr>
        <w:t xml:space="preserve">נוסף על האמור, נקבע בפסק הדין המנחה בע"א 549/73 </w:t>
      </w:r>
      <w:r w:rsidRPr="000E7292">
        <w:rPr>
          <w:rFonts w:ascii="David" w:hAnsi="David"/>
          <w:b/>
          <w:bCs/>
          <w:sz w:val="26"/>
          <w:szCs w:val="26"/>
          <w:rtl/>
        </w:rPr>
        <w:t>וינטרס נ' זמורה</w:t>
      </w:r>
      <w:r w:rsidRPr="000E7292">
        <w:rPr>
          <w:rFonts w:ascii="David" w:hAnsi="David"/>
          <w:sz w:val="26"/>
          <w:szCs w:val="26"/>
          <w:rtl/>
        </w:rPr>
        <w:t xml:space="preserve">, פ"ד </w:t>
      </w:r>
      <w:proofErr w:type="spellStart"/>
      <w:r w:rsidRPr="000E7292">
        <w:rPr>
          <w:rFonts w:ascii="David" w:hAnsi="David"/>
          <w:sz w:val="26"/>
          <w:szCs w:val="26"/>
          <w:rtl/>
        </w:rPr>
        <w:t>כח</w:t>
      </w:r>
      <w:proofErr w:type="spellEnd"/>
      <w:r w:rsidRPr="000E7292">
        <w:rPr>
          <w:rFonts w:ascii="David" w:hAnsi="David"/>
          <w:sz w:val="26"/>
          <w:szCs w:val="26"/>
          <w:rtl/>
        </w:rPr>
        <w:t xml:space="preserve">(1) 645, 648-647 (1974) (להלן – </w:t>
      </w:r>
      <w:r w:rsidRPr="000E7292">
        <w:rPr>
          <w:rFonts w:ascii="David" w:hAnsi="David"/>
          <w:b/>
          <w:bCs/>
          <w:sz w:val="26"/>
          <w:szCs w:val="26"/>
          <w:rtl/>
        </w:rPr>
        <w:t>עניין וינטרס</w:t>
      </w:r>
      <w:r w:rsidRPr="000E7292">
        <w:rPr>
          <w:rFonts w:ascii="David" w:hAnsi="David"/>
          <w:sz w:val="26"/>
          <w:szCs w:val="26"/>
          <w:rtl/>
        </w:rPr>
        <w:t xml:space="preserve">) כי </w:t>
      </w:r>
      <w:r w:rsidRPr="000E7292">
        <w:rPr>
          <w:rFonts w:ascii="David" w:hAnsi="David"/>
          <w:kern w:val="32"/>
          <w:sz w:val="26"/>
          <w:szCs w:val="26"/>
          <w:rtl/>
        </w:rPr>
        <w:t xml:space="preserve">בעל דירה רשאי לעשות שימוש סביר ברכוש המשותף, גם ללא החלטה של </w:t>
      </w:r>
      <w:proofErr w:type="spellStart"/>
      <w:r w:rsidRPr="000E7292">
        <w:rPr>
          <w:rFonts w:ascii="David" w:hAnsi="David"/>
          <w:kern w:val="32"/>
          <w:sz w:val="26"/>
          <w:szCs w:val="26"/>
          <w:rtl/>
        </w:rPr>
        <w:t>האסיפה</w:t>
      </w:r>
      <w:proofErr w:type="spellEnd"/>
      <w:r w:rsidRPr="000E7292">
        <w:rPr>
          <w:rFonts w:ascii="David" w:hAnsi="David"/>
          <w:kern w:val="32"/>
          <w:sz w:val="26"/>
          <w:szCs w:val="26"/>
          <w:rtl/>
        </w:rPr>
        <w:t xml:space="preserve"> כללית בדבר השימוש המותר ברכוש המשותף. כן נקבע ששימוש יהא סביר ורגיל ככל שהוא תואם את תנאי המקום והזמן ואת הייעוד של אותו חלק ברכוש המשותף, וככל שהשימוש אינו מונע שימוש דומה מדיירים אחרים. </w:t>
      </w:r>
      <w:r w:rsidRPr="000E7292">
        <w:rPr>
          <w:rFonts w:ascii="David" w:hAnsi="David"/>
          <w:b/>
          <w:bCs/>
          <w:sz w:val="26"/>
          <w:szCs w:val="26"/>
          <w:rtl/>
        </w:rPr>
        <w:t>עניין וינטרס</w:t>
      </w:r>
      <w:r w:rsidRPr="000E7292">
        <w:rPr>
          <w:rFonts w:ascii="David" w:hAnsi="David"/>
          <w:sz w:val="26"/>
          <w:szCs w:val="26"/>
          <w:rtl/>
        </w:rPr>
        <w:t xml:space="preserve"> האמור דומה במספר מובנים לעניין דנן. גם שם הוצמדו חניות לחלק מהדירות, ונותר שטח מרוצף אספלט לצד החניות כרכוש משותף, עליו חנו המערערים. בית המשפט מצא שגם אם המערערים חונים בשטח האמור בצורה קבועה ומתמדת, אין המדובר בתפיסת חזקה בלעדית או הצמדה. כן קבע בית המשפט שכל עוד לא יועד השטח האמור על פי תקנון הבית המשותף או על פי החלטת אסיפה כללית למטרה פלונית, אין מניעה שבעל דירה ישתמש בו שימוש יומיומי רגיל ומתאים למקום. </w:t>
      </w:r>
      <w:r w:rsidRPr="000E7292">
        <w:rPr>
          <w:rFonts w:ascii="David" w:hAnsi="David"/>
          <w:b/>
          <w:bCs/>
          <w:sz w:val="26"/>
          <w:szCs w:val="26"/>
          <w:rtl/>
        </w:rPr>
        <w:t>בעניין וינטרס</w:t>
      </w:r>
      <w:r w:rsidRPr="000E7292">
        <w:rPr>
          <w:rFonts w:ascii="David" w:hAnsi="David"/>
          <w:sz w:val="26"/>
          <w:szCs w:val="26"/>
          <w:rtl/>
        </w:rPr>
        <w:t xml:space="preserve"> האמור, נושא השימוש בחניה הובא </w:t>
      </w:r>
      <w:r w:rsidRPr="000E7292">
        <w:rPr>
          <w:rFonts w:ascii="David" w:hAnsi="David"/>
          <w:sz w:val="26"/>
          <w:szCs w:val="26"/>
          <w:rtl/>
        </w:rPr>
        <w:lastRenderedPageBreak/>
        <w:t xml:space="preserve">להחלטת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והיא החליטה לא להחליט. הובהר בפסק הדין שקביעת השימושים </w:t>
      </w:r>
      <w:proofErr w:type="spellStart"/>
      <w:r w:rsidRPr="000E7292">
        <w:rPr>
          <w:rFonts w:ascii="David" w:hAnsi="David"/>
          <w:sz w:val="26"/>
          <w:szCs w:val="26"/>
          <w:rtl/>
        </w:rPr>
        <w:t>באסיפה</w:t>
      </w:r>
      <w:proofErr w:type="spellEnd"/>
      <w:r w:rsidRPr="000E7292">
        <w:rPr>
          <w:rFonts w:ascii="David" w:hAnsi="David"/>
          <w:sz w:val="26"/>
          <w:szCs w:val="26"/>
          <w:rtl/>
        </w:rPr>
        <w:t xml:space="preserve"> הכללית היא החלטה שמתקבלת על ידי רוב בעלי הדירות, ולא ניתן לתת זכות וטו לבעל דירה בהחלטה כאמור. כפי שנקבע בעניין וינטרס באשר לשטח המריבה נשוא אותו הליך: "</w:t>
      </w:r>
      <w:r w:rsidRPr="000E7292">
        <w:rPr>
          <w:rFonts w:ascii="David" w:hAnsi="David"/>
          <w:b/>
          <w:bCs/>
          <w:sz w:val="26"/>
          <w:szCs w:val="26"/>
          <w:rtl/>
        </w:rPr>
        <w:t>אסיפה כללית יכולה בכל עת לייעד את המקום למטרה אחרת, ואז תימנע אפשרות החניה במקום מכל בעלי הדירות</w:t>
      </w:r>
      <w:r w:rsidRPr="000E7292">
        <w:rPr>
          <w:rFonts w:ascii="David" w:hAnsi="David"/>
          <w:sz w:val="26"/>
          <w:szCs w:val="26"/>
          <w:rtl/>
        </w:rPr>
        <w:t xml:space="preserve">" (ההדגשה אינה במקור). </w:t>
      </w:r>
    </w:p>
    <w:p w14:paraId="0F69EB69" w14:textId="77777777" w:rsidR="00932D3B" w:rsidRPr="000E7292" w:rsidRDefault="00932D3B" w:rsidP="00932D3B">
      <w:pPr>
        <w:pStyle w:val="ac"/>
        <w:spacing w:line="360" w:lineRule="auto"/>
        <w:jc w:val="both"/>
        <w:rPr>
          <w:rFonts w:ascii="David" w:hAnsi="David"/>
          <w:sz w:val="26"/>
          <w:szCs w:val="26"/>
        </w:rPr>
      </w:pPr>
    </w:p>
    <w:p w14:paraId="6D78CD92"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מיישום האמור לענייננו, עולה כי אמנם התביעה כפי שהוגשה על ידי התובעים הייתה מוצדקת, שכן בעת הגשת התביעה לא הייתה כל החלטה של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לעניין ייעוד שטח החניה, ועל כן לא הייתה כל מניעה שהתובעים יחנו את רכבם בשטח האמור, אף אם בפועל נוצר מצב שבו שטח החניה האמור משמש בעיקר את התובעים.</w:t>
      </w:r>
    </w:p>
    <w:p w14:paraId="4E733D3E" w14:textId="77777777" w:rsidR="00932D3B" w:rsidRPr="000E7292" w:rsidRDefault="00932D3B" w:rsidP="00932D3B">
      <w:pPr>
        <w:pStyle w:val="ac"/>
        <w:spacing w:line="360" w:lineRule="auto"/>
        <w:jc w:val="both"/>
        <w:rPr>
          <w:rFonts w:ascii="David" w:hAnsi="David"/>
          <w:sz w:val="26"/>
          <w:szCs w:val="26"/>
          <w:rtl/>
        </w:rPr>
      </w:pPr>
    </w:p>
    <w:p w14:paraId="3601603F"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עם זאת, לאור הדגש שניתן </w:t>
      </w:r>
      <w:r w:rsidRPr="000E7292">
        <w:rPr>
          <w:rFonts w:ascii="David" w:hAnsi="David"/>
          <w:b/>
          <w:bCs/>
          <w:sz w:val="26"/>
          <w:szCs w:val="26"/>
          <w:rtl/>
        </w:rPr>
        <w:t>בעניין וינטרס</w:t>
      </w:r>
      <w:r w:rsidRPr="000E7292">
        <w:rPr>
          <w:rFonts w:ascii="David" w:hAnsi="David"/>
          <w:sz w:val="26"/>
          <w:szCs w:val="26"/>
          <w:rtl/>
        </w:rPr>
        <w:t xml:space="preserve">, אשר עסק כאמור במצב עובדתי דומה לענייננו, על סמכותה של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להחליט ברוב קולות על ייעוד אחר לרכוש המשותף, אני סבורה שבמקרה דנן אין כל מניעה </w:t>
      </w:r>
      <w:proofErr w:type="spellStart"/>
      <w:r w:rsidRPr="000E7292">
        <w:rPr>
          <w:rFonts w:ascii="David" w:hAnsi="David"/>
          <w:sz w:val="26"/>
          <w:szCs w:val="26"/>
          <w:rtl/>
        </w:rPr>
        <w:t>שאסיפה</w:t>
      </w:r>
      <w:proofErr w:type="spellEnd"/>
      <w:r w:rsidRPr="000E7292">
        <w:rPr>
          <w:rFonts w:ascii="David" w:hAnsi="David"/>
          <w:sz w:val="26"/>
          <w:szCs w:val="26"/>
          <w:rtl/>
        </w:rPr>
        <w:t xml:space="preserve"> הכללית תחליט, כפי שהחליטה, שמקומות חניה המהווים רכוש משותף יושכרו לתקופה של שנה בתשלום למי מבעלי הדירות המעוניין בכך, תוך שכספי השכירות יועברו לקופת הנציגות וישמשו לתחזוקת הרכוש המשותף. כעולה מהפסיקה לעיל, לא מדובר בהחלטה הנותנת זכות לשימוש ייחודי למי מבעלי הדירות, שכן אין בהחלטה כאמור כדי לשלול לצמיתות את זכות השימוש בחניה ממי מבעלי הדירות.</w:t>
      </w:r>
    </w:p>
    <w:p w14:paraId="6DD619DD" w14:textId="77777777" w:rsidR="00932D3B" w:rsidRPr="000E7292" w:rsidRDefault="00932D3B" w:rsidP="00932D3B">
      <w:pPr>
        <w:pStyle w:val="ac"/>
        <w:spacing w:line="360" w:lineRule="auto"/>
        <w:jc w:val="both"/>
        <w:rPr>
          <w:rFonts w:ascii="David" w:hAnsi="David"/>
          <w:sz w:val="26"/>
          <w:szCs w:val="26"/>
        </w:rPr>
      </w:pPr>
    </w:p>
    <w:p w14:paraId="49AB3057"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סעיף 5(א) לתקנון המצוי שבתוספת </w:t>
      </w:r>
      <w:r w:rsidRPr="000E7292">
        <w:rPr>
          <w:rFonts w:ascii="David" w:hAnsi="David"/>
          <w:b/>
          <w:bCs/>
          <w:sz w:val="26"/>
          <w:szCs w:val="26"/>
          <w:rtl/>
        </w:rPr>
        <w:t>לחוק המקרקעין</w:t>
      </w:r>
      <w:r w:rsidRPr="000E7292">
        <w:rPr>
          <w:rFonts w:ascii="David" w:hAnsi="David"/>
          <w:sz w:val="26"/>
          <w:szCs w:val="26"/>
          <w:rtl/>
        </w:rPr>
        <w:t>, החל על הבית המשותף בהיעדר הוראה בעניין בתקנון המוסכם בהתאם לסעיף 64 לחוק המקרקעין, קובע:</w:t>
      </w:r>
    </w:p>
    <w:p w14:paraId="476A5997" w14:textId="77777777" w:rsidR="00932D3B" w:rsidRPr="000E7292" w:rsidRDefault="00932D3B" w:rsidP="00932D3B">
      <w:pPr>
        <w:pStyle w:val="ac"/>
        <w:spacing w:line="360" w:lineRule="auto"/>
        <w:jc w:val="both"/>
        <w:rPr>
          <w:rFonts w:ascii="David" w:hAnsi="David"/>
          <w:sz w:val="26"/>
          <w:szCs w:val="26"/>
        </w:rPr>
      </w:pPr>
    </w:p>
    <w:p w14:paraId="55FBC37B" w14:textId="77777777" w:rsidR="00932D3B" w:rsidRPr="000E7292" w:rsidRDefault="00932D3B" w:rsidP="00932D3B">
      <w:pPr>
        <w:pStyle w:val="ac"/>
        <w:spacing w:line="360" w:lineRule="auto"/>
        <w:ind w:left="1440"/>
        <w:jc w:val="both"/>
        <w:rPr>
          <w:rFonts w:ascii="David" w:hAnsi="David"/>
          <w:sz w:val="26"/>
          <w:szCs w:val="26"/>
          <w:rtl/>
        </w:rPr>
      </w:pPr>
      <w:r w:rsidRPr="000E7292">
        <w:rPr>
          <w:rFonts w:ascii="David" w:hAnsi="David"/>
          <w:sz w:val="26"/>
          <w:szCs w:val="26"/>
          <w:rtl/>
        </w:rPr>
        <w:t>"בעלי הדירות יקיימו אחת לשנה אסיפה כללית לשם קביעת דרכי ניהולו של הרכוש המשותף והשימוש בו, קביעת הוצאות הכרוכות בכך, מינוי נציגות, אישור החשבונות והסדר העניינים האחרים הנובעים מהשכנות בבית המשותף".</w:t>
      </w:r>
    </w:p>
    <w:p w14:paraId="3687266B" w14:textId="77777777" w:rsidR="00932D3B" w:rsidRPr="000E7292" w:rsidRDefault="00932D3B" w:rsidP="00932D3B">
      <w:pPr>
        <w:spacing w:line="360" w:lineRule="auto"/>
        <w:ind w:left="720" w:hanging="720"/>
        <w:jc w:val="both"/>
        <w:rPr>
          <w:rFonts w:ascii="David" w:hAnsi="David"/>
          <w:sz w:val="26"/>
          <w:szCs w:val="26"/>
          <w:rtl/>
        </w:rPr>
      </w:pPr>
      <w:r w:rsidRPr="000E7292">
        <w:rPr>
          <w:rFonts w:ascii="David" w:hAnsi="David"/>
          <w:sz w:val="26"/>
          <w:szCs w:val="26"/>
          <w:rtl/>
        </w:rPr>
        <w:tab/>
      </w:r>
    </w:p>
    <w:p w14:paraId="79D99D73" w14:textId="77777777" w:rsidR="00932D3B" w:rsidRPr="000E7292" w:rsidRDefault="00932D3B" w:rsidP="00932D3B">
      <w:pPr>
        <w:spacing w:line="360" w:lineRule="auto"/>
        <w:ind w:left="720"/>
        <w:jc w:val="both"/>
        <w:rPr>
          <w:rFonts w:ascii="David" w:hAnsi="David"/>
          <w:sz w:val="26"/>
          <w:szCs w:val="26"/>
          <w:rtl/>
        </w:rPr>
      </w:pPr>
      <w:r w:rsidRPr="000E7292">
        <w:rPr>
          <w:rFonts w:ascii="David" w:hAnsi="David"/>
          <w:sz w:val="26"/>
          <w:szCs w:val="26"/>
          <w:rtl/>
        </w:rPr>
        <w:lastRenderedPageBreak/>
        <w:t>מכאן שהסמ</w:t>
      </w:r>
      <w:r>
        <w:rPr>
          <w:rFonts w:ascii="David" w:hAnsi="David" w:hint="cs"/>
          <w:sz w:val="26"/>
          <w:szCs w:val="26"/>
          <w:rtl/>
        </w:rPr>
        <w:t>כ</w:t>
      </w:r>
      <w:r w:rsidRPr="000E7292">
        <w:rPr>
          <w:rFonts w:ascii="David" w:hAnsi="David"/>
          <w:sz w:val="26"/>
          <w:szCs w:val="26"/>
          <w:rtl/>
        </w:rPr>
        <w:t xml:space="preserve">ות לקבוע מהו השימוש שייעשה ברכוש המשותף וכיצד ינוהל, היא של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אשר החלטותיה מתקבלות כאמור לעיל ברוב דעות.</w:t>
      </w:r>
    </w:p>
    <w:p w14:paraId="2C7A4907" w14:textId="77777777" w:rsidR="00932D3B" w:rsidRPr="000E7292" w:rsidRDefault="00932D3B" w:rsidP="00932D3B">
      <w:pPr>
        <w:pStyle w:val="ac"/>
        <w:spacing w:line="360" w:lineRule="auto"/>
        <w:ind w:left="1440"/>
        <w:jc w:val="both"/>
        <w:rPr>
          <w:rFonts w:ascii="David" w:hAnsi="David"/>
          <w:sz w:val="26"/>
          <w:szCs w:val="26"/>
          <w:rtl/>
        </w:rPr>
      </w:pPr>
    </w:p>
    <w:p w14:paraId="6A505BF2" w14:textId="77777777" w:rsidR="00932D3B" w:rsidRPr="000E7292" w:rsidRDefault="00932D3B" w:rsidP="00932D3B">
      <w:pPr>
        <w:pStyle w:val="ac"/>
        <w:numPr>
          <w:ilvl w:val="0"/>
          <w:numId w:val="15"/>
        </w:numPr>
        <w:spacing w:line="360" w:lineRule="auto"/>
        <w:jc w:val="both"/>
        <w:rPr>
          <w:rFonts w:ascii="David" w:hAnsi="David"/>
          <w:sz w:val="26"/>
          <w:szCs w:val="26"/>
          <w:rtl/>
        </w:rPr>
      </w:pPr>
      <w:r w:rsidRPr="000E7292">
        <w:rPr>
          <w:rFonts w:ascii="David" w:hAnsi="David"/>
          <w:sz w:val="26"/>
          <w:szCs w:val="26"/>
          <w:rtl/>
        </w:rPr>
        <w:t xml:space="preserve">בניגוד לטענת התובעים, אין בהחלטה כאמור כדי לפגוע בזכויותיהם, שכן זכותם של התובעים, כשאר בעלי הדירות, לעשות שימושים ברכוש המשותף כפופה מלכתחילה להחלטות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על כן כל עוד לא קבעה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יעוד מסוג מסוים לחלק רלוונטי ברכוש המשותף, זכות התובעים לעשות בו שימוש סביר ורגיל כאמור לעיל, אולם משקבעה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מהו הייעוד של אותו חלק, על התובעים לפעול בהתאם להחלטותיה. </w:t>
      </w:r>
    </w:p>
    <w:p w14:paraId="27E43AEB" w14:textId="77777777" w:rsidR="00932D3B" w:rsidRPr="000E7292" w:rsidRDefault="00932D3B" w:rsidP="00932D3B">
      <w:pPr>
        <w:pStyle w:val="ac"/>
        <w:spacing w:line="360" w:lineRule="auto"/>
        <w:jc w:val="both"/>
        <w:rPr>
          <w:rFonts w:ascii="David" w:hAnsi="David"/>
          <w:sz w:val="26"/>
          <w:szCs w:val="26"/>
          <w:rtl/>
        </w:rPr>
      </w:pPr>
    </w:p>
    <w:p w14:paraId="79B50157" w14:textId="77777777" w:rsidR="00932D3B" w:rsidRPr="000E7292" w:rsidRDefault="00932D3B" w:rsidP="00932D3B">
      <w:pPr>
        <w:pStyle w:val="ac"/>
        <w:spacing w:line="360" w:lineRule="auto"/>
        <w:jc w:val="both"/>
        <w:rPr>
          <w:rFonts w:ascii="David" w:hAnsi="David"/>
          <w:b/>
          <w:bCs/>
          <w:sz w:val="26"/>
          <w:szCs w:val="26"/>
          <w:rtl/>
        </w:rPr>
      </w:pPr>
      <w:r w:rsidRPr="000E7292">
        <w:rPr>
          <w:rFonts w:ascii="David" w:hAnsi="David"/>
          <w:sz w:val="26"/>
          <w:szCs w:val="26"/>
          <w:rtl/>
        </w:rPr>
        <w:t xml:space="preserve">אבהיר כי גם החלטות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כפופות כמובן לדין וגם לאמות מידה נוספות כגון תום לב (בין היתר לאור סעיף 14 לחוק ה</w:t>
      </w:r>
      <w:r w:rsidRPr="000E7292">
        <w:rPr>
          <w:rFonts w:ascii="David" w:hAnsi="David"/>
          <w:b/>
          <w:bCs/>
          <w:sz w:val="26"/>
          <w:szCs w:val="26"/>
          <w:rtl/>
        </w:rPr>
        <w:t>מקרקעין</w:t>
      </w:r>
      <w:r w:rsidRPr="000E7292">
        <w:rPr>
          <w:rFonts w:ascii="David" w:hAnsi="David"/>
          <w:sz w:val="26"/>
          <w:szCs w:val="26"/>
          <w:rtl/>
        </w:rPr>
        <w:t xml:space="preserve">), ועל כן בעלי הדירות אינם רשאים בהחלטת רוב לפגוע </w:t>
      </w:r>
      <w:r>
        <w:rPr>
          <w:rFonts w:ascii="David" w:hAnsi="David" w:hint="cs"/>
          <w:sz w:val="26"/>
          <w:szCs w:val="26"/>
          <w:rtl/>
        </w:rPr>
        <w:t xml:space="preserve">באופן העולה על הנדרש </w:t>
      </w:r>
      <w:r w:rsidRPr="000E7292">
        <w:rPr>
          <w:rFonts w:ascii="David" w:hAnsi="David"/>
          <w:sz w:val="26"/>
          <w:szCs w:val="26"/>
          <w:rtl/>
        </w:rPr>
        <w:t xml:space="preserve">במיעוט. זאת לדוגמה כאשר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מחליטה על שימוש ברכוש המשותף הפוגע בדירת אחד מבעלי הדירות</w:t>
      </w:r>
      <w:r>
        <w:rPr>
          <w:rFonts w:ascii="David" w:hAnsi="David" w:hint="cs"/>
          <w:sz w:val="26"/>
          <w:szCs w:val="26"/>
          <w:rtl/>
        </w:rPr>
        <w:t>, כגון שימוש המייצר מפגע בלתי סביר סמוך לחלון דירתו וכד'</w:t>
      </w:r>
      <w:r w:rsidRPr="000E7292">
        <w:rPr>
          <w:rFonts w:ascii="David" w:hAnsi="David"/>
          <w:sz w:val="26"/>
          <w:szCs w:val="26"/>
          <w:rtl/>
        </w:rPr>
        <w:t>.</w:t>
      </w:r>
      <w:r w:rsidRPr="000E7292">
        <w:rPr>
          <w:rFonts w:ascii="David" w:hAnsi="David"/>
          <w:b/>
          <w:bCs/>
          <w:sz w:val="26"/>
          <w:szCs w:val="26"/>
          <w:rtl/>
        </w:rPr>
        <w:t xml:space="preserve"> </w:t>
      </w:r>
      <w:r w:rsidRPr="000E7292">
        <w:rPr>
          <w:rFonts w:ascii="David" w:hAnsi="David"/>
          <w:sz w:val="26"/>
          <w:szCs w:val="26"/>
          <w:rtl/>
        </w:rPr>
        <w:t xml:space="preserve">בענייננו </w:t>
      </w:r>
      <w:r>
        <w:rPr>
          <w:rFonts w:ascii="David" w:hAnsi="David" w:hint="cs"/>
          <w:sz w:val="26"/>
          <w:szCs w:val="26"/>
          <w:rtl/>
        </w:rPr>
        <w:t>לא מתקיימת פגיעה כאמור בתובעים כמיעוט.</w:t>
      </w:r>
      <w:r w:rsidRPr="000E7292">
        <w:rPr>
          <w:rFonts w:ascii="David" w:hAnsi="David"/>
          <w:b/>
          <w:bCs/>
          <w:sz w:val="26"/>
          <w:szCs w:val="26"/>
          <w:rtl/>
        </w:rPr>
        <w:t xml:space="preserve"> </w:t>
      </w:r>
    </w:p>
    <w:p w14:paraId="30015ABF" w14:textId="77777777" w:rsidR="00932D3B" w:rsidRPr="000E7292" w:rsidRDefault="00932D3B" w:rsidP="00932D3B">
      <w:pPr>
        <w:pStyle w:val="ac"/>
        <w:spacing w:line="360" w:lineRule="auto"/>
        <w:jc w:val="both"/>
        <w:rPr>
          <w:rFonts w:ascii="David" w:hAnsi="David"/>
          <w:b/>
          <w:bCs/>
          <w:sz w:val="26"/>
          <w:szCs w:val="26"/>
          <w:rtl/>
        </w:rPr>
      </w:pPr>
    </w:p>
    <w:p w14:paraId="3F0319D8" w14:textId="77777777" w:rsidR="00932D3B" w:rsidRPr="000E7292" w:rsidRDefault="00932D3B" w:rsidP="00932D3B">
      <w:pPr>
        <w:pStyle w:val="ac"/>
        <w:numPr>
          <w:ilvl w:val="0"/>
          <w:numId w:val="15"/>
        </w:numPr>
        <w:spacing w:line="360" w:lineRule="auto"/>
        <w:jc w:val="both"/>
        <w:rPr>
          <w:rFonts w:ascii="David" w:hAnsi="David"/>
          <w:sz w:val="26"/>
          <w:szCs w:val="26"/>
          <w:rtl/>
        </w:rPr>
      </w:pPr>
      <w:r w:rsidRPr="000E7292">
        <w:rPr>
          <w:rFonts w:ascii="David" w:hAnsi="David"/>
          <w:b/>
          <w:bCs/>
          <w:sz w:val="26"/>
          <w:szCs w:val="26"/>
          <w:rtl/>
        </w:rPr>
        <w:t>בעניין וינטרס</w:t>
      </w:r>
      <w:r w:rsidRPr="000E7292">
        <w:rPr>
          <w:rFonts w:ascii="David" w:hAnsi="David"/>
          <w:sz w:val="26"/>
          <w:szCs w:val="26"/>
          <w:rtl/>
        </w:rPr>
        <w:t xml:space="preserve"> אף סבר בית המשפט שכדי למנוע חיכוכים מיותרים בין הדיירים, תיטיב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לעשות אם תקבע סדר בעניין, ויפה שעה אחת קודם (עמוד 649 לפסק הדין). סביר כי הסדר אליו כיוון בית המשפט העליון הוא חלוקת זמנים שתאפשר הנאה </w:t>
      </w:r>
      <w:proofErr w:type="spellStart"/>
      <w:r w:rsidRPr="000E7292">
        <w:rPr>
          <w:rFonts w:ascii="David" w:hAnsi="David"/>
          <w:sz w:val="26"/>
          <w:szCs w:val="26"/>
          <w:rtl/>
        </w:rPr>
        <w:t>שיוויונית</w:t>
      </w:r>
      <w:proofErr w:type="spellEnd"/>
      <w:r w:rsidRPr="000E7292">
        <w:rPr>
          <w:rFonts w:ascii="David" w:hAnsi="David"/>
          <w:sz w:val="26"/>
          <w:szCs w:val="26"/>
          <w:rtl/>
        </w:rPr>
        <w:t xml:space="preserve"> לבעלי הדירות שיבקשו לחנות במיקום האמור. בעניין וינטרס נתנה הפניה לע"א 31/70 </w:t>
      </w:r>
      <w:r w:rsidRPr="000E7292">
        <w:rPr>
          <w:rFonts w:ascii="David" w:hAnsi="David"/>
          <w:b/>
          <w:bCs/>
          <w:sz w:val="26"/>
          <w:szCs w:val="26"/>
          <w:rtl/>
        </w:rPr>
        <w:t>כהן נ' שמאי</w:t>
      </w:r>
      <w:r w:rsidRPr="000E7292">
        <w:rPr>
          <w:rFonts w:ascii="David" w:hAnsi="David"/>
          <w:sz w:val="26"/>
          <w:szCs w:val="26"/>
          <w:rtl/>
        </w:rPr>
        <w:t xml:space="preserve">, כד(2) 388 (1970), שם בעמ' 391 נתנה דוגמה להחלטה אפשרית של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באשר לשימוש בחדר כביסה בבית המשותף כאשר נקבעים תאריכים לשימוש על ידי בעלי הדירות. מכאן שטענת התובעים שלא ניתן לשלול שימוש ברכוש משותף ממי מבעלי הדירות ללא הסכמתו אף לא למועד קצוב, אין לה על מה שתסמוך.</w:t>
      </w:r>
    </w:p>
    <w:p w14:paraId="75033FBE" w14:textId="77777777" w:rsidR="00932D3B" w:rsidRPr="000E7292" w:rsidRDefault="00932D3B" w:rsidP="00932D3B">
      <w:pPr>
        <w:pStyle w:val="ac"/>
        <w:spacing w:line="360" w:lineRule="auto"/>
        <w:jc w:val="both"/>
        <w:rPr>
          <w:rFonts w:ascii="David" w:hAnsi="David"/>
          <w:sz w:val="26"/>
          <w:szCs w:val="26"/>
          <w:rtl/>
        </w:rPr>
      </w:pPr>
    </w:p>
    <w:p w14:paraId="18B158C8" w14:textId="77777777" w:rsidR="00932D3B" w:rsidRPr="000E7292" w:rsidRDefault="00932D3B" w:rsidP="00932D3B">
      <w:pPr>
        <w:pStyle w:val="ac"/>
        <w:spacing w:line="360" w:lineRule="auto"/>
        <w:jc w:val="both"/>
        <w:rPr>
          <w:rFonts w:ascii="David" w:hAnsi="David"/>
          <w:sz w:val="26"/>
          <w:szCs w:val="26"/>
          <w:rtl/>
        </w:rPr>
      </w:pPr>
      <w:r w:rsidRPr="000E7292">
        <w:rPr>
          <w:rFonts w:ascii="David" w:hAnsi="David"/>
          <w:sz w:val="26"/>
          <w:szCs w:val="26"/>
          <w:rtl/>
        </w:rPr>
        <w:t xml:space="preserve">החלטת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w:t>
      </w:r>
      <w:r>
        <w:rPr>
          <w:rFonts w:ascii="David" w:hAnsi="David" w:hint="cs"/>
          <w:sz w:val="26"/>
          <w:szCs w:val="26"/>
          <w:rtl/>
        </w:rPr>
        <w:t xml:space="preserve">שהתקבלה בענייננו, </w:t>
      </w:r>
      <w:r w:rsidRPr="000E7292">
        <w:rPr>
          <w:rFonts w:ascii="David" w:hAnsi="David"/>
          <w:sz w:val="26"/>
          <w:szCs w:val="26"/>
          <w:rtl/>
        </w:rPr>
        <w:t xml:space="preserve">מייצרת מנגנון הוגן, המאפשר לכל אחד מבעלי הדירות לשכור את החניה לתקופה קצובה. התובעים לא טענו שתקופה של שנה היא ארוכה מידי, ויש לקבוע חלוקת זמנים אחרת, אלא טענו שגם החלטה בדבר יום, שבוע או חודש שבו מותר לבעל דירה מסוים לחנות בחניה האמורה היא </w:t>
      </w:r>
      <w:r w:rsidRPr="000E7292">
        <w:rPr>
          <w:rFonts w:ascii="David" w:hAnsi="David"/>
          <w:sz w:val="26"/>
          <w:szCs w:val="26"/>
          <w:rtl/>
        </w:rPr>
        <w:lastRenderedPageBreak/>
        <w:t>החלטה שלא ניתן לקבלה ללא הסכמתם. טענה זו לא ניתן לקבל. אמנם השכרת החניה למי מבעלי הדירות מאפשרת לו שימוש ייחודי בחניה, אך זאת בתשלום, ומבלי לתת לו ייתרון כלשהו על יתר בעלי הדירות אשר רשאים לשכור חניה דומה, ולתקופה קצובה המאפשרת תחלופה ככל שמי מבעלי הדירות ירצה להשתתף במנגנון האמור. יוער בהקשר זה שבמסגרת העובדות המוסכמות על הצדדים צוין שהנתבעת נתנה לתובעים זכות ראשונים לשכור את החניה, אולם הם סרבו לכך</w:t>
      </w:r>
      <w:r>
        <w:rPr>
          <w:rFonts w:ascii="David" w:hAnsi="David" w:hint="cs"/>
          <w:sz w:val="26"/>
          <w:szCs w:val="26"/>
          <w:rtl/>
        </w:rPr>
        <w:t xml:space="preserve">, כך שלתובעים אף ניתן ייתרון מסוים טרם ביצוע החלטת </w:t>
      </w:r>
      <w:proofErr w:type="spellStart"/>
      <w:r>
        <w:rPr>
          <w:rFonts w:ascii="David" w:hAnsi="David" w:hint="cs"/>
          <w:sz w:val="26"/>
          <w:szCs w:val="26"/>
          <w:rtl/>
        </w:rPr>
        <w:t>האסיפה</w:t>
      </w:r>
      <w:proofErr w:type="spellEnd"/>
      <w:r>
        <w:rPr>
          <w:rFonts w:ascii="David" w:hAnsi="David" w:hint="cs"/>
          <w:sz w:val="26"/>
          <w:szCs w:val="26"/>
          <w:rtl/>
        </w:rPr>
        <w:t xml:space="preserve"> הכללית</w:t>
      </w:r>
      <w:r w:rsidRPr="000E7292">
        <w:rPr>
          <w:rFonts w:ascii="David" w:hAnsi="David"/>
          <w:sz w:val="26"/>
          <w:szCs w:val="26"/>
          <w:rtl/>
        </w:rPr>
        <w:t xml:space="preserve">. </w:t>
      </w:r>
    </w:p>
    <w:p w14:paraId="66A7B4C4" w14:textId="77777777" w:rsidR="00932D3B" w:rsidRPr="000E7292" w:rsidRDefault="00932D3B" w:rsidP="00932D3B">
      <w:pPr>
        <w:pStyle w:val="ac"/>
        <w:spacing w:line="360" w:lineRule="auto"/>
        <w:jc w:val="both"/>
        <w:rPr>
          <w:rFonts w:ascii="David" w:hAnsi="David"/>
          <w:sz w:val="26"/>
          <w:szCs w:val="26"/>
          <w:rtl/>
        </w:rPr>
      </w:pPr>
    </w:p>
    <w:p w14:paraId="4ACEA150" w14:textId="77777777" w:rsidR="00932D3B" w:rsidRPr="000E7292" w:rsidRDefault="00932D3B" w:rsidP="00932D3B">
      <w:pPr>
        <w:pStyle w:val="ac"/>
        <w:spacing w:line="360" w:lineRule="auto"/>
        <w:jc w:val="both"/>
        <w:rPr>
          <w:rFonts w:ascii="David" w:hAnsi="David"/>
          <w:sz w:val="26"/>
          <w:szCs w:val="26"/>
        </w:rPr>
      </w:pPr>
      <w:r>
        <w:rPr>
          <w:rFonts w:ascii="David" w:hAnsi="David" w:hint="cs"/>
          <w:sz w:val="26"/>
          <w:szCs w:val="26"/>
          <w:rtl/>
        </w:rPr>
        <w:t xml:space="preserve">יוער כי </w:t>
      </w:r>
      <w:r w:rsidRPr="000E7292">
        <w:rPr>
          <w:rFonts w:ascii="David" w:hAnsi="David"/>
          <w:sz w:val="26"/>
          <w:szCs w:val="26"/>
          <w:rtl/>
        </w:rPr>
        <w:t>שיטת תפיסת השטח על בסיס מקום פנוי, עלולה לעורר מחלוקות וטרוניות, במיוחד כאשר התוצאה בפועל היא שאחד מבעלי הדירות הוא שעושה בפועל שימוש קבוע בשטח. לפיכך זכות רוב בעלי הדירות להחליט על מנגנון שוויוני קבוע, אשר במקרה הנוכחי יש לו יתרון נוסף שכן הוא מוסיף כספים לקופת הנציגות לטובת כלל בעלי הדירות.</w:t>
      </w:r>
    </w:p>
    <w:p w14:paraId="740F594B" w14:textId="77777777" w:rsidR="00932D3B" w:rsidRPr="000E7292" w:rsidRDefault="00932D3B" w:rsidP="00932D3B">
      <w:pPr>
        <w:pStyle w:val="ac"/>
        <w:spacing w:line="360" w:lineRule="auto"/>
        <w:jc w:val="both"/>
        <w:rPr>
          <w:rFonts w:ascii="David" w:hAnsi="David"/>
          <w:sz w:val="26"/>
          <w:szCs w:val="26"/>
        </w:rPr>
      </w:pPr>
    </w:p>
    <w:p w14:paraId="0BE18D48" w14:textId="77777777" w:rsidR="00932D3B" w:rsidRPr="000E7292" w:rsidRDefault="00932D3B" w:rsidP="00932D3B">
      <w:pPr>
        <w:pStyle w:val="ac"/>
        <w:numPr>
          <w:ilvl w:val="0"/>
          <w:numId w:val="15"/>
        </w:numPr>
        <w:spacing w:line="360" w:lineRule="auto"/>
        <w:jc w:val="both"/>
        <w:rPr>
          <w:rFonts w:ascii="David" w:hAnsi="David"/>
          <w:sz w:val="26"/>
          <w:szCs w:val="26"/>
        </w:rPr>
      </w:pPr>
      <w:r w:rsidRPr="000E7292">
        <w:rPr>
          <w:rFonts w:ascii="David" w:hAnsi="David"/>
          <w:sz w:val="26"/>
          <w:szCs w:val="26"/>
          <w:rtl/>
        </w:rPr>
        <w:t xml:space="preserve">לאור האמור, התביעה נדחית בהיבטים הנוגעים לסמכות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להחליט על השכרת חניות המהוות רכוש משותף שלא הוצמד למי מהדירות, למשך שנה, באופן שיאפשר מנגנון שוויוני לבעלי הדירות המעוניינים בכך לשכור חניות כאמור. לאור השינויים העובדתיים שחלו תוך כדי ההליך ובכללם קבלת החלטת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כעולה מהעובדות המוסכמות על הצדדים, יתר סעדי התביעה התייתרו. </w:t>
      </w:r>
    </w:p>
    <w:p w14:paraId="66F5C085" w14:textId="77777777" w:rsidR="00932D3B" w:rsidRPr="000E7292" w:rsidRDefault="00932D3B" w:rsidP="00932D3B">
      <w:pPr>
        <w:pStyle w:val="ac"/>
        <w:spacing w:line="360" w:lineRule="auto"/>
        <w:rPr>
          <w:rFonts w:ascii="David" w:hAnsi="David"/>
          <w:sz w:val="26"/>
          <w:szCs w:val="26"/>
          <w:rtl/>
        </w:rPr>
      </w:pPr>
    </w:p>
    <w:p w14:paraId="7CE7A573" w14:textId="77777777" w:rsidR="00932D3B" w:rsidRPr="000E7292" w:rsidRDefault="00932D3B" w:rsidP="00932D3B">
      <w:pPr>
        <w:pStyle w:val="ac"/>
        <w:numPr>
          <w:ilvl w:val="0"/>
          <w:numId w:val="15"/>
        </w:numPr>
        <w:spacing w:line="360" w:lineRule="auto"/>
        <w:jc w:val="both"/>
        <w:rPr>
          <w:rFonts w:ascii="David" w:hAnsi="David"/>
          <w:sz w:val="26"/>
          <w:szCs w:val="26"/>
          <w:rtl/>
        </w:rPr>
      </w:pPr>
      <w:r w:rsidRPr="000E7292">
        <w:rPr>
          <w:rFonts w:ascii="David" w:hAnsi="David"/>
          <w:sz w:val="26"/>
          <w:szCs w:val="26"/>
          <w:rtl/>
        </w:rPr>
        <w:t xml:space="preserve">מאחר שהחלטת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בעניין התקבלה רק לאחר הגשת התביעה, כאשר בעת הגשת התביעה לא היה מקום למנוע מהתובעים לחנות בחניה האמורה, ועם זאת, בשל העובדה שהתובעים עמדו על התביעה גם לאחר קבלת החלטת </w:t>
      </w:r>
      <w:proofErr w:type="spellStart"/>
      <w:r w:rsidRPr="000E7292">
        <w:rPr>
          <w:rFonts w:ascii="David" w:hAnsi="David"/>
          <w:sz w:val="26"/>
          <w:szCs w:val="26"/>
          <w:rtl/>
        </w:rPr>
        <w:t>האסיפה</w:t>
      </w:r>
      <w:proofErr w:type="spellEnd"/>
      <w:r w:rsidRPr="000E7292">
        <w:rPr>
          <w:rFonts w:ascii="David" w:hAnsi="David"/>
          <w:sz w:val="26"/>
          <w:szCs w:val="26"/>
          <w:rtl/>
        </w:rPr>
        <w:t xml:space="preserve"> הכללית, באופן שהצריך המשך ניהולו, אני קובעת שכל צד יישא בהוצאותיו. </w:t>
      </w:r>
    </w:p>
    <w:p w14:paraId="5DC325A3" w14:textId="77777777" w:rsidR="00932D3B" w:rsidRPr="000E7292" w:rsidRDefault="00932D3B" w:rsidP="00932D3B">
      <w:pPr>
        <w:spacing w:line="360" w:lineRule="auto"/>
        <w:jc w:val="both"/>
        <w:rPr>
          <w:rFonts w:ascii="David" w:hAnsi="David"/>
          <w:sz w:val="26"/>
          <w:szCs w:val="26"/>
          <w:rtl/>
        </w:rPr>
      </w:pPr>
    </w:p>
    <w:p w14:paraId="7C98F4FC" w14:textId="4BACAF37" w:rsidR="00932D3B" w:rsidRDefault="00932D3B" w:rsidP="00D00464">
      <w:pPr>
        <w:spacing w:line="360" w:lineRule="auto"/>
        <w:rPr>
          <w:rFonts w:ascii="David" w:hAnsi="David"/>
          <w:sz w:val="24"/>
          <w:rtl/>
        </w:rPr>
      </w:pPr>
      <w:r>
        <w:rPr>
          <w:rFonts w:ascii="David" w:hAnsi="David" w:hint="cs"/>
          <w:sz w:val="24"/>
          <w:rtl/>
        </w:rPr>
        <w:t xml:space="preserve">ניתן היום, </w:t>
      </w:r>
      <w:r>
        <w:rPr>
          <w:rFonts w:ascii="David" w:hAnsi="David"/>
          <w:sz w:val="24"/>
          <w:rtl/>
        </w:rPr>
        <w:fldChar w:fldCharType="begin"/>
      </w:r>
      <w:r>
        <w:rPr>
          <w:rFonts w:ascii="David" w:hAnsi="David"/>
          <w:sz w:val="24"/>
          <w:rtl/>
        </w:rPr>
        <w:instrText xml:space="preserve"> </w:instrText>
      </w:r>
      <w:r>
        <w:rPr>
          <w:rFonts w:ascii="David" w:hAnsi="David" w:hint="cs"/>
          <w:sz w:val="24"/>
        </w:rPr>
        <w:instrText>DATE</w:instrText>
      </w:r>
      <w:r>
        <w:rPr>
          <w:rFonts w:ascii="David" w:hAnsi="David" w:hint="cs"/>
          <w:sz w:val="24"/>
          <w:rtl/>
        </w:rPr>
        <w:instrText xml:space="preserve"> \@ "</w:instrText>
      </w:r>
      <w:r>
        <w:rPr>
          <w:rFonts w:ascii="David" w:hAnsi="David" w:hint="cs"/>
          <w:sz w:val="24"/>
        </w:rPr>
        <w:instrText>dd MMMM yyyy" \h</w:instrText>
      </w:r>
      <w:r>
        <w:rPr>
          <w:rFonts w:ascii="David" w:hAnsi="David"/>
          <w:sz w:val="24"/>
          <w:rtl/>
        </w:rPr>
        <w:instrText xml:space="preserve"> </w:instrText>
      </w:r>
      <w:r>
        <w:rPr>
          <w:rFonts w:ascii="David" w:hAnsi="David"/>
          <w:sz w:val="24"/>
          <w:rtl/>
        </w:rPr>
        <w:fldChar w:fldCharType="separate"/>
      </w:r>
      <w:r w:rsidR="001B0FDB">
        <w:rPr>
          <w:rFonts w:ascii="David" w:hAnsi="David"/>
          <w:noProof/>
          <w:sz w:val="24"/>
          <w:rtl/>
        </w:rPr>
        <w:t>‏ה' טבת תשפ"ה</w:t>
      </w:r>
      <w:r>
        <w:rPr>
          <w:rFonts w:ascii="David" w:hAnsi="David"/>
          <w:sz w:val="24"/>
          <w:rtl/>
        </w:rPr>
        <w:fldChar w:fldCharType="end"/>
      </w:r>
      <w:r>
        <w:rPr>
          <w:rFonts w:ascii="David" w:hAnsi="David" w:hint="cs"/>
          <w:sz w:val="24"/>
          <w:rtl/>
        </w:rPr>
        <w:t xml:space="preserve">, </w:t>
      </w:r>
      <w:r>
        <w:rPr>
          <w:rFonts w:ascii="David" w:hAnsi="David"/>
          <w:sz w:val="24"/>
          <w:rtl/>
        </w:rPr>
        <w:fldChar w:fldCharType="begin"/>
      </w:r>
      <w:r>
        <w:rPr>
          <w:rFonts w:ascii="David" w:hAnsi="David"/>
          <w:sz w:val="24"/>
          <w:rtl/>
        </w:rPr>
        <w:instrText xml:space="preserve"> </w:instrText>
      </w:r>
      <w:r>
        <w:rPr>
          <w:rFonts w:ascii="David" w:hAnsi="David" w:hint="cs"/>
          <w:sz w:val="24"/>
        </w:rPr>
        <w:instrText>DATE</w:instrText>
      </w:r>
      <w:r>
        <w:rPr>
          <w:rFonts w:ascii="David" w:hAnsi="David" w:hint="cs"/>
          <w:sz w:val="24"/>
          <w:rtl/>
        </w:rPr>
        <w:instrText xml:space="preserve"> \@ "</w:instrText>
      </w:r>
      <w:r>
        <w:rPr>
          <w:rFonts w:ascii="David" w:hAnsi="David" w:hint="cs"/>
          <w:sz w:val="24"/>
        </w:rPr>
        <w:instrText>dd MMMM yyyy</w:instrText>
      </w:r>
      <w:r>
        <w:rPr>
          <w:rFonts w:ascii="David" w:hAnsi="David" w:hint="cs"/>
          <w:sz w:val="24"/>
          <w:rtl/>
        </w:rPr>
        <w:instrText>"</w:instrText>
      </w:r>
      <w:r>
        <w:rPr>
          <w:rFonts w:ascii="David" w:hAnsi="David"/>
          <w:sz w:val="24"/>
          <w:rtl/>
        </w:rPr>
        <w:instrText xml:space="preserve"> </w:instrText>
      </w:r>
      <w:r>
        <w:rPr>
          <w:rFonts w:ascii="David" w:hAnsi="David"/>
          <w:sz w:val="24"/>
          <w:rtl/>
        </w:rPr>
        <w:fldChar w:fldCharType="separate"/>
      </w:r>
      <w:r w:rsidR="001B0FDB">
        <w:rPr>
          <w:rFonts w:ascii="David" w:hAnsi="David"/>
          <w:noProof/>
          <w:sz w:val="24"/>
          <w:rtl/>
        </w:rPr>
        <w:t>‏05 ינואר 2025</w:t>
      </w:r>
      <w:r>
        <w:rPr>
          <w:rFonts w:ascii="David" w:hAnsi="David"/>
          <w:sz w:val="24"/>
          <w:rtl/>
        </w:rPr>
        <w:fldChar w:fldCharType="end"/>
      </w:r>
      <w:r>
        <w:rPr>
          <w:rFonts w:ascii="David" w:hAnsi="David" w:hint="cs"/>
          <w:sz w:val="24"/>
          <w:rtl/>
        </w:rPr>
        <w:t>, בהיעדר הצדדים</w:t>
      </w:r>
    </w:p>
    <w:p w14:paraId="12FB5F23" w14:textId="44E1BCFD" w:rsidR="00932D3B" w:rsidRDefault="00932D3B" w:rsidP="00D00464">
      <w:pPr>
        <w:spacing w:line="360" w:lineRule="auto"/>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p>
    <w:p w14:paraId="507D714B" w14:textId="77777777" w:rsidR="00932D3B" w:rsidRDefault="00932D3B" w:rsidP="006A1519">
      <w:pPr>
        <w:jc w:val="both"/>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אביטל שרייבר</w:t>
      </w:r>
    </w:p>
    <w:p w14:paraId="77703132" w14:textId="77777777" w:rsidR="00932D3B" w:rsidRDefault="00932D3B" w:rsidP="006A1519">
      <w:pPr>
        <w:jc w:val="both"/>
        <w:rPr>
          <w:rFonts w:ascii="David" w:hAnsi="David"/>
          <w:sz w:val="24"/>
          <w:rtl/>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מפקחת בכירה על רישום מקרקעין</w:t>
      </w:r>
    </w:p>
    <w:p w14:paraId="261C3B09" w14:textId="77777777" w:rsidR="00932D3B" w:rsidRPr="00D00464" w:rsidRDefault="00932D3B" w:rsidP="006A1519">
      <w:pPr>
        <w:jc w:val="both"/>
        <w:rPr>
          <w:rFonts w:ascii="David" w:hAnsi="David"/>
          <w:sz w:val="24"/>
        </w:rPr>
      </w:pP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sz w:val="24"/>
          <w:rtl/>
        </w:rPr>
        <w:tab/>
      </w:r>
      <w:r>
        <w:rPr>
          <w:rFonts w:ascii="David" w:hAnsi="David" w:hint="cs"/>
          <w:sz w:val="24"/>
          <w:rtl/>
        </w:rPr>
        <w:t xml:space="preserve">     ירושלים</w:t>
      </w:r>
    </w:p>
    <w:p w14:paraId="2287B79B" w14:textId="29F023C5" w:rsidR="00932D3B" w:rsidRPr="000E7292" w:rsidRDefault="00932D3B" w:rsidP="00932D3B">
      <w:pPr>
        <w:spacing w:line="360" w:lineRule="auto"/>
        <w:jc w:val="both"/>
        <w:rPr>
          <w:rFonts w:ascii="David" w:hAnsi="David"/>
          <w:sz w:val="26"/>
          <w:szCs w:val="26"/>
          <w:rtl/>
        </w:rPr>
      </w:pPr>
    </w:p>
    <w:p w14:paraId="4B9B8389" w14:textId="77777777" w:rsidR="00932D3B" w:rsidRPr="000E7292" w:rsidRDefault="00932D3B" w:rsidP="00932D3B">
      <w:pPr>
        <w:spacing w:line="360" w:lineRule="auto"/>
        <w:jc w:val="both"/>
        <w:rPr>
          <w:rFonts w:ascii="David" w:hAnsi="David"/>
          <w:sz w:val="26"/>
          <w:szCs w:val="26"/>
        </w:rPr>
      </w:pPr>
    </w:p>
    <w:p w14:paraId="6F7CA951" w14:textId="77777777" w:rsidR="00BF226D" w:rsidRPr="00932D3B" w:rsidRDefault="00BF226D" w:rsidP="00932D3B">
      <w:pPr>
        <w:rPr>
          <w:szCs w:val="22"/>
          <w:rtl/>
        </w:rPr>
      </w:pPr>
    </w:p>
    <w:sectPr w:rsidR="00BF226D" w:rsidRPr="00932D3B" w:rsidSect="00B06DCB">
      <w:headerReference w:type="default" r:id="rId12"/>
      <w:footerReference w:type="default" r:id="rId13"/>
      <w:pgSz w:w="11906" w:h="16838"/>
      <w:pgMar w:top="1078"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F2BED" w14:textId="77777777" w:rsidR="005960CB" w:rsidRDefault="005960CB" w:rsidP="00E6645A">
      <w:r>
        <w:separator/>
      </w:r>
    </w:p>
  </w:endnote>
  <w:endnote w:type="continuationSeparator" w:id="0">
    <w:p w14:paraId="571A8CD7" w14:textId="77777777" w:rsidR="005960CB" w:rsidRDefault="005960CB"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640730DC"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B8244E">
          <w:fldChar w:fldCharType="begin"/>
        </w:r>
        <w:r w:rsidR="00B8244E">
          <w:instrText xml:space="preserve"> PAGE   \* MERGEFORMAT </w:instrText>
        </w:r>
        <w:r w:rsidR="00B8244E">
          <w:fldChar w:fldCharType="separate"/>
        </w:r>
        <w:r w:rsidR="00932D3B">
          <w:rPr>
            <w:noProof/>
            <w:rtl/>
          </w:rPr>
          <w:t>1</w:t>
        </w:r>
        <w:r w:rsidR="00B8244E">
          <w:fldChar w:fldCharType="end"/>
        </w:r>
      </w:p>
    </w:sdtContent>
  </w:sdt>
  <w:p w14:paraId="02EA63EF"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0293B" w14:textId="77777777" w:rsidR="005960CB" w:rsidRDefault="005960CB" w:rsidP="00E6645A">
      <w:r>
        <w:separator/>
      </w:r>
    </w:p>
  </w:footnote>
  <w:footnote w:type="continuationSeparator" w:id="0">
    <w:p w14:paraId="75AC93F8" w14:textId="77777777" w:rsidR="005960CB" w:rsidRDefault="005960CB"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C4466"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1FC8CFE0" wp14:editId="75DB8C74">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0098E4D6"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048F946D"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133DD34C" w14:textId="77777777" w:rsidR="003A2D09" w:rsidRPr="00257FA6" w:rsidRDefault="001E56A2" w:rsidP="003A2D09">
    <w:pPr>
      <w:pStyle w:val="a6"/>
      <w:jc w:val="center"/>
      <w:rPr>
        <w:rFonts w:ascii="Arial" w:hAnsi="Arial"/>
        <w:b/>
        <w:bCs/>
        <w:sz w:val="20"/>
        <w:rtl/>
      </w:rPr>
    </w:pPr>
    <w:r>
      <w:rPr>
        <w:rFonts w:ascii="David" w:hAnsi="David"/>
        <w:b/>
        <w:bCs/>
        <w:noProof/>
        <w:sz w:val="24"/>
        <w:rtl/>
      </w:rPr>
      <w:t>ירושלים</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401CA764" w14:textId="77777777" w:rsidTr="001035B0">
      <w:tc>
        <w:tcPr>
          <w:tcW w:w="3118" w:type="dxa"/>
        </w:tcPr>
        <w:p w14:paraId="45DFC456"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347BFAE1"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13545B6A"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2643A489" w14:textId="77777777" w:rsidR="00D3650D" w:rsidRPr="00257FA6" w:rsidRDefault="00D3650D" w:rsidP="00373A1B">
          <w:pPr>
            <w:pStyle w:val="a6"/>
            <w:jc w:val="center"/>
            <w:rPr>
              <w:rFonts w:ascii="Arial" w:hAnsi="Arial"/>
              <w:b/>
              <w:bCs/>
              <w:sz w:val="20"/>
              <w:rtl/>
            </w:rPr>
          </w:pPr>
        </w:p>
      </w:tc>
      <w:tc>
        <w:tcPr>
          <w:tcW w:w="4537" w:type="dxa"/>
        </w:tcPr>
        <w:p w14:paraId="0C0BEA00" w14:textId="77777777" w:rsidR="00D3650D" w:rsidRPr="00257FA6" w:rsidRDefault="001E56A2" w:rsidP="001C63D8">
          <w:pPr>
            <w:pStyle w:val="a6"/>
            <w:rPr>
              <w:rFonts w:ascii="Arial" w:hAnsi="Arial"/>
              <w:b/>
              <w:bCs/>
              <w:sz w:val="20"/>
              <w:rtl/>
            </w:rPr>
          </w:pPr>
          <w:r>
            <w:rPr>
              <w:rFonts w:ascii="David" w:hAnsi="David"/>
              <w:b/>
              <w:bCs/>
              <w:noProof/>
              <w:sz w:val="24"/>
              <w:rtl/>
            </w:rPr>
            <w:t>מס' תיק: 1/147/2024</w:t>
          </w:r>
          <w:r>
            <w:br/>
          </w:r>
          <w:r>
            <w:rPr>
              <w:rFonts w:ascii="David" w:hAnsi="David"/>
              <w:b/>
              <w:bCs/>
              <w:noProof/>
              <w:sz w:val="24"/>
              <w:rtl/>
            </w:rPr>
            <w:t>מס' בקשה: 1/148/2024</w:t>
          </w:r>
        </w:p>
      </w:tc>
    </w:tr>
  </w:tbl>
  <w:p w14:paraId="264E734F"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019F50CB"/>
    <w:multiLevelType w:val="hybridMultilevel"/>
    <w:tmpl w:val="11566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022617"/>
    <w:multiLevelType w:val="hybridMultilevel"/>
    <w:tmpl w:val="F2D0A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5"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4"/>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2"/>
    <w:docVar w:name="P1" w:val="Document MetaData-05/01/2025 13:57:20"/>
    <w:docVar w:name="P2" w:val="Document Headings-05/01/2025 13:59:09"/>
    <w:docVar w:name="P3" w:val="Document Tables-05/01/2025 13:59:36"/>
    <w:docVar w:name="ParaNumber" w:val="104"/>
  </w:docVars>
  <w:rsids>
    <w:rsidRoot w:val="00A85247"/>
    <w:rsid w:val="00002AEE"/>
    <w:rsid w:val="00003CC5"/>
    <w:rsid w:val="00005402"/>
    <w:rsid w:val="000057E8"/>
    <w:rsid w:val="00016FC8"/>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375E7"/>
    <w:rsid w:val="00141176"/>
    <w:rsid w:val="00171732"/>
    <w:rsid w:val="001A73F3"/>
    <w:rsid w:val="001B0FDB"/>
    <w:rsid w:val="001D4325"/>
    <w:rsid w:val="001E56A2"/>
    <w:rsid w:val="001F5C40"/>
    <w:rsid w:val="00227E56"/>
    <w:rsid w:val="00227EDD"/>
    <w:rsid w:val="00237FAC"/>
    <w:rsid w:val="00257FA6"/>
    <w:rsid w:val="0026341F"/>
    <w:rsid w:val="0028308D"/>
    <w:rsid w:val="00285EE4"/>
    <w:rsid w:val="002A668B"/>
    <w:rsid w:val="00302C45"/>
    <w:rsid w:val="00344FAA"/>
    <w:rsid w:val="0034710D"/>
    <w:rsid w:val="00353E71"/>
    <w:rsid w:val="00355305"/>
    <w:rsid w:val="00355C48"/>
    <w:rsid w:val="003571AE"/>
    <w:rsid w:val="0036024A"/>
    <w:rsid w:val="00382123"/>
    <w:rsid w:val="003A2D09"/>
    <w:rsid w:val="003A5B0C"/>
    <w:rsid w:val="003E0904"/>
    <w:rsid w:val="003E5409"/>
    <w:rsid w:val="003F0297"/>
    <w:rsid w:val="003F03E7"/>
    <w:rsid w:val="00416D3E"/>
    <w:rsid w:val="0043108A"/>
    <w:rsid w:val="00436544"/>
    <w:rsid w:val="004507C9"/>
    <w:rsid w:val="00451EC5"/>
    <w:rsid w:val="0046217D"/>
    <w:rsid w:val="0046318A"/>
    <w:rsid w:val="004652EB"/>
    <w:rsid w:val="00472CF9"/>
    <w:rsid w:val="00492E70"/>
    <w:rsid w:val="004C4A98"/>
    <w:rsid w:val="004E326D"/>
    <w:rsid w:val="004F780E"/>
    <w:rsid w:val="00506114"/>
    <w:rsid w:val="00533418"/>
    <w:rsid w:val="00535A25"/>
    <w:rsid w:val="00545351"/>
    <w:rsid w:val="00545579"/>
    <w:rsid w:val="00555A87"/>
    <w:rsid w:val="005714F0"/>
    <w:rsid w:val="005807C0"/>
    <w:rsid w:val="005960CB"/>
    <w:rsid w:val="005A4338"/>
    <w:rsid w:val="005B2A07"/>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D4388"/>
    <w:rsid w:val="006E5B31"/>
    <w:rsid w:val="006F3E4F"/>
    <w:rsid w:val="00716D3E"/>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9058E3"/>
    <w:rsid w:val="00932D3B"/>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5247"/>
    <w:rsid w:val="00A87A98"/>
    <w:rsid w:val="00AA2219"/>
    <w:rsid w:val="00AA5F44"/>
    <w:rsid w:val="00AA6CAB"/>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8244E"/>
    <w:rsid w:val="00B93DB7"/>
    <w:rsid w:val="00BB4A46"/>
    <w:rsid w:val="00BC453B"/>
    <w:rsid w:val="00BD2B92"/>
    <w:rsid w:val="00BD611E"/>
    <w:rsid w:val="00BF226D"/>
    <w:rsid w:val="00C06756"/>
    <w:rsid w:val="00C07D14"/>
    <w:rsid w:val="00C21C67"/>
    <w:rsid w:val="00C2248B"/>
    <w:rsid w:val="00C32D24"/>
    <w:rsid w:val="00C333A2"/>
    <w:rsid w:val="00C351AC"/>
    <w:rsid w:val="00C452A8"/>
    <w:rsid w:val="00C60A02"/>
    <w:rsid w:val="00C8524A"/>
    <w:rsid w:val="00C92D3D"/>
    <w:rsid w:val="00CB44D3"/>
    <w:rsid w:val="00CD0363"/>
    <w:rsid w:val="00CF458D"/>
    <w:rsid w:val="00D0443B"/>
    <w:rsid w:val="00D11EF2"/>
    <w:rsid w:val="00D3650D"/>
    <w:rsid w:val="00D40469"/>
    <w:rsid w:val="00D507E2"/>
    <w:rsid w:val="00D54636"/>
    <w:rsid w:val="00D63F0C"/>
    <w:rsid w:val="00D80962"/>
    <w:rsid w:val="00DB2354"/>
    <w:rsid w:val="00DB6109"/>
    <w:rsid w:val="00E0435C"/>
    <w:rsid w:val="00E114C4"/>
    <w:rsid w:val="00E13BDC"/>
    <w:rsid w:val="00E2132A"/>
    <w:rsid w:val="00E33D5F"/>
    <w:rsid w:val="00E5481C"/>
    <w:rsid w:val="00E644DA"/>
    <w:rsid w:val="00E6645A"/>
    <w:rsid w:val="00E67049"/>
    <w:rsid w:val="00E8345C"/>
    <w:rsid w:val="00E84FA8"/>
    <w:rsid w:val="00EA29F4"/>
    <w:rsid w:val="00EA5C43"/>
    <w:rsid w:val="00EB709B"/>
    <w:rsid w:val="00EC1F35"/>
    <w:rsid w:val="00ED573F"/>
    <w:rsid w:val="00EF72B9"/>
    <w:rsid w:val="00F00726"/>
    <w:rsid w:val="00F05D0A"/>
    <w:rsid w:val="00F3383F"/>
    <w:rsid w:val="00F44D7E"/>
    <w:rsid w:val="00F45876"/>
    <w:rsid w:val="00F53FCE"/>
    <w:rsid w:val="00F56AA8"/>
    <w:rsid w:val="00F65521"/>
    <w:rsid w:val="00F7708F"/>
    <w:rsid w:val="00FB5007"/>
    <w:rsid w:val="00FB52B5"/>
    <w:rsid w:val="00FB546A"/>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EB590C"/>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link w:val="ad"/>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character" w:customStyle="1" w:styleId="ad">
    <w:name w:val="פיסקת רשימה תו"/>
    <w:link w:val="ac"/>
    <w:uiPriority w:val="34"/>
    <w:locked/>
    <w:rsid w:val="00932D3B"/>
    <w:rPr>
      <w:rFonts w:ascii="Times New Roman" w:hAnsi="Times New Roman" w:cs="Dav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0F5D6-6585-4AF0-9ADA-103159972836}">
  <ds:schemaRefs>
    <ds:schemaRef ds:uri="http://schemas.microsoft.com/sharepoint/v3/contenttype/forms"/>
  </ds:schemaRefs>
</ds:datastoreItem>
</file>

<file path=customXml/itemProps2.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4.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1806</Words>
  <Characters>8565</Characters>
  <Application>Microsoft Office Word</Application>
  <DocSecurity>0</DocSecurity>
  <Lines>244</Lines>
  <Paragraphs>59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דין.docx_3</dc:title>
  <dc:creator>susyl</dc:creator>
  <cp:keywords>Produced By WeCo Office Accessibilty</cp:keywords>
  <dc:description>שלב 4 - טיפול בתמונות וקישורים</dc:description>
  <cp:lastModifiedBy>Shimrit Chuna</cp:lastModifiedBy>
  <cp:revision>2</cp:revision>
  <cp:lastPrinted>2025-01-05T12:00:00Z</cp:lastPrinted>
  <dcterms:created xsi:type="dcterms:W3CDTF">2025-01-05T12:01:00Z</dcterms:created>
  <dcterms:modified xsi:type="dcterms:W3CDTF">2025-01-05T12:01:00Z</dcterms:modified>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