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2753"/>
        <w:gridCol w:w="5470"/>
      </w:tblGrid>
      <w:tr w:rsidR="003D3568" w:rsidRPr="002E7A66" w14:paraId="708E3CDA" w14:textId="77777777" w:rsidTr="00EE1544">
        <w:trPr>
          <w:cantSplit/>
        </w:trPr>
        <w:tc>
          <w:tcPr>
            <w:tcW w:w="3118" w:type="dxa"/>
          </w:tcPr>
          <w:p w14:paraId="0E0106D2" w14:textId="77777777" w:rsidR="003D3568" w:rsidRPr="002E7A66" w:rsidRDefault="003D3568" w:rsidP="00D076E3">
            <w:pPr>
              <w:pStyle w:val="a4"/>
              <w:jc w:val="center"/>
              <w:rPr>
                <w:rFonts w:ascii="FrankRuehl" w:hAnsi="FrankRuehl" w:cs="FrankRuehl"/>
                <w:b/>
                <w:bCs/>
                <w:spacing w:val="10"/>
                <w:sz w:val="28"/>
                <w:szCs w:val="28"/>
                <w:rtl/>
              </w:rPr>
            </w:pPr>
          </w:p>
        </w:tc>
        <w:tc>
          <w:tcPr>
            <w:tcW w:w="2753" w:type="dxa"/>
          </w:tcPr>
          <w:p w14:paraId="586F7051" w14:textId="77777777" w:rsidR="003D3568" w:rsidRPr="002E7A66" w:rsidRDefault="003D3568" w:rsidP="00D076E3">
            <w:pPr>
              <w:pStyle w:val="a4"/>
              <w:jc w:val="center"/>
              <w:rPr>
                <w:rFonts w:ascii="FrankRuehl" w:hAnsi="FrankRuehl" w:cs="FrankRuehl" w:hint="cs"/>
                <w:b/>
                <w:bCs/>
                <w:spacing w:val="10"/>
                <w:sz w:val="28"/>
                <w:szCs w:val="28"/>
                <w:rtl/>
              </w:rPr>
            </w:pPr>
          </w:p>
        </w:tc>
        <w:tc>
          <w:tcPr>
            <w:tcW w:w="5470" w:type="dxa"/>
          </w:tcPr>
          <w:p w14:paraId="4634BEF3" w14:textId="77777777" w:rsidR="003D3568" w:rsidRPr="002E7A66" w:rsidRDefault="003D3568" w:rsidP="00D076E3">
            <w:pPr>
              <w:rPr>
                <w:rFonts w:ascii="FrankRuehl" w:hAnsi="FrankRuehl" w:cs="FrankRuehl"/>
                <w:spacing w:val="10"/>
                <w:sz w:val="28"/>
                <w:szCs w:val="28"/>
                <w:rtl/>
              </w:rPr>
            </w:pPr>
            <w:r>
              <w:rPr>
                <w:rFonts w:ascii="FrankRuehl" w:hAnsi="FrankRuehl" w:cs="FrankRuehl" w:hint="cs"/>
                <w:b/>
                <w:bCs/>
                <w:spacing w:val="10"/>
                <w:sz w:val="28"/>
                <w:szCs w:val="28"/>
                <w:rtl/>
              </w:rPr>
              <w:t>ל</w:t>
            </w:r>
            <w:r w:rsidRPr="002E7A66">
              <w:rPr>
                <w:rFonts w:ascii="FrankRuehl" w:hAnsi="FrankRuehl" w:cs="FrankRuehl"/>
                <w:b/>
                <w:bCs/>
                <w:spacing w:val="10"/>
                <w:sz w:val="28"/>
                <w:szCs w:val="28"/>
                <w:rtl/>
              </w:rPr>
              <w:t xml:space="preserve">פני כבוד </w:t>
            </w:r>
            <w:r>
              <w:rPr>
                <w:rFonts w:ascii="FrankRuehl" w:hAnsi="FrankRuehl" w:cs="FrankRuehl" w:hint="cs"/>
                <w:b/>
                <w:bCs/>
                <w:spacing w:val="10"/>
                <w:sz w:val="28"/>
                <w:szCs w:val="28"/>
                <w:rtl/>
              </w:rPr>
              <w:t>ה</w:t>
            </w:r>
            <w:r w:rsidRPr="002E7A66">
              <w:rPr>
                <w:rFonts w:ascii="FrankRuehl" w:hAnsi="FrankRuehl" w:cs="FrankRuehl"/>
                <w:b/>
                <w:bCs/>
                <w:noProof/>
                <w:spacing w:val="10"/>
                <w:sz w:val="28"/>
                <w:szCs w:val="28"/>
                <w:rtl/>
              </w:rPr>
              <w:t xml:space="preserve">מפקחת </w:t>
            </w:r>
            <w:r>
              <w:rPr>
                <w:rFonts w:ascii="FrankRuehl" w:hAnsi="FrankRuehl" w:cs="FrankRuehl" w:hint="cs"/>
                <w:b/>
                <w:bCs/>
                <w:noProof/>
                <w:spacing w:val="10"/>
                <w:sz w:val="28"/>
                <w:szCs w:val="28"/>
                <w:rtl/>
              </w:rPr>
              <w:t>ה</w:t>
            </w:r>
            <w:r w:rsidRPr="002E7A66">
              <w:rPr>
                <w:rFonts w:ascii="FrankRuehl" w:hAnsi="FrankRuehl" w:cs="FrankRuehl"/>
                <w:b/>
                <w:bCs/>
                <w:noProof/>
                <w:spacing w:val="10"/>
                <w:sz w:val="28"/>
                <w:szCs w:val="28"/>
                <w:rtl/>
              </w:rPr>
              <w:t>בכירה על רישום מקרקעין</w:t>
            </w:r>
            <w:r w:rsidRPr="002E7A66">
              <w:rPr>
                <w:rFonts w:ascii="FrankRuehl" w:hAnsi="FrankRuehl" w:cs="FrankRuehl"/>
                <w:spacing w:val="10"/>
                <w:sz w:val="28"/>
                <w:szCs w:val="28"/>
              </w:rPr>
              <w:t xml:space="preserve"> </w:t>
            </w:r>
            <w:r w:rsidRPr="002E7A66">
              <w:rPr>
                <w:rFonts w:ascii="FrankRuehl" w:hAnsi="FrankRuehl" w:cs="FrankRuehl"/>
                <w:b/>
                <w:bCs/>
                <w:noProof/>
                <w:spacing w:val="10"/>
                <w:sz w:val="28"/>
                <w:szCs w:val="28"/>
                <w:rtl/>
              </w:rPr>
              <w:t>אושרת ארפי מוראי</w:t>
            </w:r>
          </w:p>
        </w:tc>
      </w:tr>
    </w:tbl>
    <w:p w14:paraId="1BC16977" w14:textId="77777777" w:rsidR="003D3568" w:rsidRPr="002E7A66" w:rsidRDefault="003D3568" w:rsidP="003D3568">
      <w:pPr>
        <w:spacing w:after="200" w:line="276" w:lineRule="auto"/>
        <w:contextualSpacing w:val="0"/>
        <w:rPr>
          <w:rFonts w:ascii="FrankRuehl" w:hAnsi="FrankRuehl" w:cs="FrankRuehl"/>
          <w:b/>
          <w:bCs/>
          <w:spacing w:val="10"/>
          <w:sz w:val="28"/>
          <w:szCs w:val="28"/>
          <w:rtl/>
        </w:rPr>
      </w:pPr>
    </w:p>
    <w:p w14:paraId="65F7ADDB" w14:textId="77777777" w:rsidR="003D3568" w:rsidRPr="002E7A66" w:rsidRDefault="003D3568" w:rsidP="006A32EC">
      <w:pPr>
        <w:spacing w:after="200" w:line="276" w:lineRule="auto"/>
        <w:contextualSpacing w:val="0"/>
        <w:jc w:val="center"/>
        <w:rPr>
          <w:rFonts w:ascii="FrankRuehl" w:hAnsi="FrankRuehl" w:cs="FrankRuehl"/>
          <w:b/>
          <w:bCs/>
          <w:color w:val="FF0000"/>
          <w:spacing w:val="10"/>
          <w:sz w:val="28"/>
          <w:szCs w:val="28"/>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11"/>
        <w:gridCol w:w="968"/>
        <w:gridCol w:w="691"/>
        <w:gridCol w:w="6673"/>
      </w:tblGrid>
      <w:tr w:rsidR="003D3568" w:rsidRPr="002E7A66" w14:paraId="3E0B3763" w14:textId="77777777" w:rsidTr="00EE1544">
        <w:trPr>
          <w:cantSplit/>
        </w:trPr>
        <w:tc>
          <w:tcPr>
            <w:tcW w:w="852" w:type="pct"/>
          </w:tcPr>
          <w:p w14:paraId="69D58A2A"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r>
              <w:rPr>
                <w:rFonts w:ascii="FrankRuehl" w:hAnsi="FrankRuehl" w:cs="FrankRuehl" w:hint="cs"/>
                <w:b/>
                <w:bCs/>
                <w:spacing w:val="10"/>
                <w:sz w:val="28"/>
                <w:szCs w:val="28"/>
                <w:rtl/>
              </w:rPr>
              <w:t>ה</w:t>
            </w:r>
            <w:r w:rsidRPr="002E7A66">
              <w:rPr>
                <w:rFonts w:ascii="FrankRuehl" w:hAnsi="FrankRuehl" w:cs="FrankRuehl"/>
                <w:b/>
                <w:bCs/>
                <w:spacing w:val="10"/>
                <w:sz w:val="28"/>
                <w:szCs w:val="28"/>
                <w:rtl/>
              </w:rPr>
              <w:t>מבקשים</w:t>
            </w:r>
            <w:r>
              <w:rPr>
                <w:rFonts w:ascii="FrankRuehl" w:hAnsi="FrankRuehl" w:cs="FrankRuehl" w:hint="cs"/>
                <w:b/>
                <w:bCs/>
                <w:spacing w:val="10"/>
                <w:sz w:val="28"/>
                <w:szCs w:val="28"/>
                <w:rtl/>
              </w:rPr>
              <w:t>:</w:t>
            </w:r>
          </w:p>
        </w:tc>
        <w:tc>
          <w:tcPr>
            <w:tcW w:w="482" w:type="pct"/>
          </w:tcPr>
          <w:p w14:paraId="402264C5"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0280A88B"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1</w:t>
            </w:r>
            <w:r>
              <w:rPr>
                <w:rFonts w:ascii="FrankRuehl" w:hAnsi="FrankRuehl" w:cs="FrankRuehl" w:hint="cs"/>
                <w:b/>
                <w:bCs/>
                <w:spacing w:val="10"/>
                <w:sz w:val="28"/>
                <w:szCs w:val="28"/>
                <w:rtl/>
              </w:rPr>
              <w:t>.</w:t>
            </w:r>
          </w:p>
        </w:tc>
        <w:tc>
          <w:tcPr>
            <w:tcW w:w="3322" w:type="pct"/>
          </w:tcPr>
          <w:p w14:paraId="1CCEA135" w14:textId="438ABD4D"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r w:rsidRPr="002E7A66">
              <w:rPr>
                <w:rFonts w:ascii="FrankRuehl" w:hAnsi="FrankRuehl" w:cs="FrankRuehl"/>
                <w:b/>
                <w:bCs/>
                <w:spacing w:val="10"/>
                <w:sz w:val="28"/>
                <w:szCs w:val="28"/>
                <w:rtl/>
              </w:rPr>
              <w:t>מנדל עדו</w:t>
            </w:r>
          </w:p>
        </w:tc>
      </w:tr>
      <w:tr w:rsidR="003D3568" w:rsidRPr="002E7A66" w14:paraId="10DD515F" w14:textId="77777777" w:rsidTr="00EE1544">
        <w:trPr>
          <w:cantSplit/>
        </w:trPr>
        <w:tc>
          <w:tcPr>
            <w:tcW w:w="852" w:type="pct"/>
          </w:tcPr>
          <w:p w14:paraId="4F58A63C"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16EE1A66"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47778349"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2</w:t>
            </w:r>
            <w:r>
              <w:rPr>
                <w:rFonts w:ascii="FrankRuehl" w:hAnsi="FrankRuehl" w:cs="FrankRuehl" w:hint="cs"/>
                <w:b/>
                <w:bCs/>
                <w:spacing w:val="10"/>
                <w:sz w:val="28"/>
                <w:szCs w:val="28"/>
                <w:rtl/>
              </w:rPr>
              <w:t>.</w:t>
            </w:r>
          </w:p>
        </w:tc>
        <w:tc>
          <w:tcPr>
            <w:tcW w:w="3322" w:type="pct"/>
          </w:tcPr>
          <w:p w14:paraId="4EF46541" w14:textId="46AC7A8C"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r w:rsidRPr="002E7A66">
              <w:rPr>
                <w:rFonts w:ascii="FrankRuehl" w:hAnsi="FrankRuehl" w:cs="FrankRuehl"/>
                <w:b/>
                <w:bCs/>
                <w:spacing w:val="10"/>
                <w:sz w:val="28"/>
                <w:szCs w:val="28"/>
                <w:rtl/>
              </w:rPr>
              <w:t>מנדל טל</w:t>
            </w:r>
          </w:p>
        </w:tc>
      </w:tr>
      <w:tr w:rsidR="003D3568" w:rsidRPr="002E7A66" w14:paraId="55CE5243" w14:textId="77777777" w:rsidTr="00EE1544">
        <w:trPr>
          <w:cantSplit/>
        </w:trPr>
        <w:tc>
          <w:tcPr>
            <w:tcW w:w="852" w:type="pct"/>
          </w:tcPr>
          <w:p w14:paraId="15876C6D"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07574CF2"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3B2F8DFF"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3</w:t>
            </w:r>
            <w:r>
              <w:rPr>
                <w:rFonts w:ascii="FrankRuehl" w:hAnsi="FrankRuehl" w:cs="FrankRuehl" w:hint="cs"/>
                <w:b/>
                <w:bCs/>
                <w:spacing w:val="10"/>
                <w:sz w:val="28"/>
                <w:szCs w:val="28"/>
                <w:rtl/>
              </w:rPr>
              <w:t>.</w:t>
            </w:r>
          </w:p>
        </w:tc>
        <w:tc>
          <w:tcPr>
            <w:tcW w:w="3322" w:type="pct"/>
          </w:tcPr>
          <w:p w14:paraId="2A673E50" w14:textId="7EC82218"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proofErr w:type="spellStart"/>
            <w:r w:rsidRPr="002E7A66">
              <w:rPr>
                <w:rFonts w:ascii="FrankRuehl" w:hAnsi="FrankRuehl" w:cs="FrankRuehl"/>
                <w:b/>
                <w:bCs/>
                <w:spacing w:val="10"/>
                <w:sz w:val="28"/>
                <w:szCs w:val="28"/>
                <w:rtl/>
              </w:rPr>
              <w:t>דופוי</w:t>
            </w:r>
            <w:proofErr w:type="spellEnd"/>
            <w:r w:rsidRPr="002E7A66">
              <w:rPr>
                <w:rFonts w:ascii="FrankRuehl" w:hAnsi="FrankRuehl" w:cs="FrankRuehl"/>
                <w:b/>
                <w:bCs/>
                <w:spacing w:val="10"/>
                <w:sz w:val="28"/>
                <w:szCs w:val="28"/>
                <w:rtl/>
              </w:rPr>
              <w:t xml:space="preserve"> פרדריק פאול</w:t>
            </w:r>
          </w:p>
        </w:tc>
      </w:tr>
      <w:tr w:rsidR="003D3568" w:rsidRPr="002E7A66" w14:paraId="7CEA7E24" w14:textId="77777777" w:rsidTr="00EE1544">
        <w:trPr>
          <w:cantSplit/>
        </w:trPr>
        <w:tc>
          <w:tcPr>
            <w:tcW w:w="852" w:type="pct"/>
          </w:tcPr>
          <w:p w14:paraId="6736ADF4"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37BC4CC6"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4DDA0752"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4</w:t>
            </w:r>
            <w:r>
              <w:rPr>
                <w:rFonts w:ascii="FrankRuehl" w:hAnsi="FrankRuehl" w:cs="FrankRuehl" w:hint="cs"/>
                <w:b/>
                <w:bCs/>
                <w:spacing w:val="10"/>
                <w:sz w:val="28"/>
                <w:szCs w:val="28"/>
                <w:rtl/>
              </w:rPr>
              <w:t>.</w:t>
            </w:r>
          </w:p>
        </w:tc>
        <w:tc>
          <w:tcPr>
            <w:tcW w:w="3322" w:type="pct"/>
          </w:tcPr>
          <w:p w14:paraId="4057A1E4" w14:textId="371A390C"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proofErr w:type="spellStart"/>
            <w:r w:rsidRPr="002E7A66">
              <w:rPr>
                <w:rFonts w:ascii="FrankRuehl" w:hAnsi="FrankRuehl" w:cs="FrankRuehl"/>
                <w:b/>
                <w:bCs/>
                <w:spacing w:val="10"/>
                <w:sz w:val="28"/>
                <w:szCs w:val="28"/>
                <w:rtl/>
              </w:rPr>
              <w:t>מיכלזון</w:t>
            </w:r>
            <w:proofErr w:type="spellEnd"/>
            <w:r w:rsidRPr="002E7A66">
              <w:rPr>
                <w:rFonts w:ascii="FrankRuehl" w:hAnsi="FrankRuehl" w:cs="FrankRuehl"/>
                <w:b/>
                <w:bCs/>
                <w:spacing w:val="10"/>
                <w:sz w:val="28"/>
                <w:szCs w:val="28"/>
                <w:rtl/>
              </w:rPr>
              <w:t xml:space="preserve"> עדי</w:t>
            </w:r>
          </w:p>
        </w:tc>
      </w:tr>
      <w:tr w:rsidR="003D3568" w:rsidRPr="002E7A66" w14:paraId="7F6F9BE9" w14:textId="77777777" w:rsidTr="00EE1544">
        <w:trPr>
          <w:cantSplit/>
        </w:trPr>
        <w:tc>
          <w:tcPr>
            <w:tcW w:w="852" w:type="pct"/>
          </w:tcPr>
          <w:p w14:paraId="4AF634DF"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62572A59"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45008248"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5</w:t>
            </w:r>
            <w:r>
              <w:rPr>
                <w:rFonts w:ascii="FrankRuehl" w:hAnsi="FrankRuehl" w:cs="FrankRuehl" w:hint="cs"/>
                <w:b/>
                <w:bCs/>
                <w:spacing w:val="10"/>
                <w:sz w:val="28"/>
                <w:szCs w:val="28"/>
                <w:rtl/>
              </w:rPr>
              <w:t>.</w:t>
            </w:r>
          </w:p>
        </w:tc>
        <w:tc>
          <w:tcPr>
            <w:tcW w:w="3322" w:type="pct"/>
          </w:tcPr>
          <w:p w14:paraId="3F92D7DA" w14:textId="5A6CE97F"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r w:rsidRPr="002E7A66">
              <w:rPr>
                <w:rFonts w:ascii="FrankRuehl" w:hAnsi="FrankRuehl" w:cs="FrankRuehl"/>
                <w:b/>
                <w:bCs/>
                <w:spacing w:val="10"/>
                <w:sz w:val="28"/>
                <w:szCs w:val="28"/>
                <w:rtl/>
              </w:rPr>
              <w:t>רבי גלית</w:t>
            </w:r>
          </w:p>
        </w:tc>
      </w:tr>
      <w:tr w:rsidR="003D3568" w:rsidRPr="002E7A66" w14:paraId="43F21393" w14:textId="77777777" w:rsidTr="00EE1544">
        <w:trPr>
          <w:cantSplit/>
        </w:trPr>
        <w:tc>
          <w:tcPr>
            <w:tcW w:w="852" w:type="pct"/>
          </w:tcPr>
          <w:p w14:paraId="77BD320D"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30361908"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266B0892"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6</w:t>
            </w:r>
            <w:r>
              <w:rPr>
                <w:rFonts w:ascii="FrankRuehl" w:hAnsi="FrankRuehl" w:cs="FrankRuehl" w:hint="cs"/>
                <w:b/>
                <w:bCs/>
                <w:spacing w:val="10"/>
                <w:sz w:val="28"/>
                <w:szCs w:val="28"/>
                <w:rtl/>
              </w:rPr>
              <w:t>.</w:t>
            </w:r>
          </w:p>
        </w:tc>
        <w:tc>
          <w:tcPr>
            <w:tcW w:w="3322" w:type="pct"/>
          </w:tcPr>
          <w:p w14:paraId="73349982" w14:textId="4804B627"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r w:rsidRPr="002E7A66">
              <w:rPr>
                <w:rFonts w:ascii="FrankRuehl" w:hAnsi="FrankRuehl" w:cs="FrankRuehl"/>
                <w:b/>
                <w:bCs/>
                <w:spacing w:val="10"/>
                <w:sz w:val="28"/>
                <w:szCs w:val="28"/>
                <w:rtl/>
              </w:rPr>
              <w:t>רבי איתן</w:t>
            </w:r>
          </w:p>
        </w:tc>
      </w:tr>
      <w:tr w:rsidR="003D3568" w:rsidRPr="002E7A66" w14:paraId="08B1C46F" w14:textId="77777777" w:rsidTr="00EE1544">
        <w:trPr>
          <w:cantSplit/>
        </w:trPr>
        <w:tc>
          <w:tcPr>
            <w:tcW w:w="852" w:type="pct"/>
          </w:tcPr>
          <w:p w14:paraId="38E5D847"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64A6E885"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72331027"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7</w:t>
            </w:r>
            <w:r>
              <w:rPr>
                <w:rFonts w:ascii="FrankRuehl" w:hAnsi="FrankRuehl" w:cs="FrankRuehl" w:hint="cs"/>
                <w:b/>
                <w:bCs/>
                <w:spacing w:val="10"/>
                <w:sz w:val="28"/>
                <w:szCs w:val="28"/>
                <w:rtl/>
              </w:rPr>
              <w:t>.</w:t>
            </w:r>
          </w:p>
        </w:tc>
        <w:tc>
          <w:tcPr>
            <w:tcW w:w="3322" w:type="pct"/>
          </w:tcPr>
          <w:p w14:paraId="2BFFA034" w14:textId="6B65B409"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r w:rsidRPr="002E7A66">
              <w:rPr>
                <w:rFonts w:ascii="FrankRuehl" w:hAnsi="FrankRuehl" w:cs="FrankRuehl"/>
                <w:b/>
                <w:bCs/>
                <w:spacing w:val="10"/>
                <w:sz w:val="28"/>
                <w:szCs w:val="28"/>
                <w:rtl/>
              </w:rPr>
              <w:t xml:space="preserve">פאר </w:t>
            </w:r>
            <w:proofErr w:type="spellStart"/>
            <w:r w:rsidRPr="002E7A66">
              <w:rPr>
                <w:rFonts w:ascii="FrankRuehl" w:hAnsi="FrankRuehl" w:cs="FrankRuehl"/>
                <w:b/>
                <w:bCs/>
                <w:spacing w:val="10"/>
                <w:sz w:val="28"/>
                <w:szCs w:val="28"/>
                <w:rtl/>
              </w:rPr>
              <w:t>גולדין</w:t>
            </w:r>
            <w:proofErr w:type="spellEnd"/>
            <w:r w:rsidRPr="002E7A66">
              <w:rPr>
                <w:rFonts w:ascii="FrankRuehl" w:hAnsi="FrankRuehl" w:cs="FrankRuehl"/>
                <w:b/>
                <w:bCs/>
                <w:spacing w:val="10"/>
                <w:sz w:val="28"/>
                <w:szCs w:val="28"/>
                <w:rtl/>
              </w:rPr>
              <w:t xml:space="preserve"> אילנה</w:t>
            </w:r>
            <w:r w:rsidRPr="002E7A66">
              <w:rPr>
                <w:rFonts w:ascii="FrankRuehl" w:hAnsi="FrankRuehl" w:cs="FrankRuehl"/>
                <w:spacing w:val="10"/>
                <w:sz w:val="28"/>
                <w:szCs w:val="28"/>
                <w:rtl/>
              </w:rPr>
              <w:t xml:space="preserve"> </w:t>
            </w:r>
            <w:proofErr w:type="spellStart"/>
            <w:r w:rsidRPr="002E7A66">
              <w:rPr>
                <w:rFonts w:ascii="FrankRuehl" w:hAnsi="FrankRuehl" w:cs="FrankRuehl"/>
                <w:b/>
                <w:bCs/>
                <w:spacing w:val="10"/>
                <w:sz w:val="28"/>
                <w:szCs w:val="28"/>
                <w:rtl/>
              </w:rPr>
              <w:t>נייאנהפאראמי</w:t>
            </w:r>
            <w:proofErr w:type="spellEnd"/>
          </w:p>
        </w:tc>
      </w:tr>
      <w:tr w:rsidR="003D3568" w:rsidRPr="002E7A66" w14:paraId="06E95E81" w14:textId="77777777" w:rsidTr="00EE1544">
        <w:trPr>
          <w:cantSplit/>
        </w:trPr>
        <w:tc>
          <w:tcPr>
            <w:tcW w:w="852" w:type="pct"/>
          </w:tcPr>
          <w:p w14:paraId="26C98C20"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1D116B23"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4047EA71"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8</w:t>
            </w:r>
            <w:r>
              <w:rPr>
                <w:rFonts w:ascii="FrankRuehl" w:hAnsi="FrankRuehl" w:cs="FrankRuehl" w:hint="cs"/>
                <w:b/>
                <w:bCs/>
                <w:spacing w:val="10"/>
                <w:sz w:val="28"/>
                <w:szCs w:val="28"/>
                <w:rtl/>
              </w:rPr>
              <w:t>.</w:t>
            </w:r>
          </w:p>
        </w:tc>
        <w:tc>
          <w:tcPr>
            <w:tcW w:w="3322" w:type="pct"/>
          </w:tcPr>
          <w:p w14:paraId="21F9CAE4" w14:textId="05F819C6"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proofErr w:type="spellStart"/>
            <w:r w:rsidRPr="002E7A66">
              <w:rPr>
                <w:rFonts w:ascii="FrankRuehl" w:hAnsi="FrankRuehl" w:cs="FrankRuehl"/>
                <w:b/>
                <w:bCs/>
                <w:spacing w:val="10"/>
                <w:sz w:val="28"/>
                <w:szCs w:val="28"/>
                <w:rtl/>
              </w:rPr>
              <w:t>גולדין</w:t>
            </w:r>
            <w:proofErr w:type="spellEnd"/>
            <w:r w:rsidRPr="002E7A66">
              <w:rPr>
                <w:rFonts w:ascii="FrankRuehl" w:hAnsi="FrankRuehl" w:cs="FrankRuehl"/>
                <w:b/>
                <w:bCs/>
                <w:spacing w:val="10"/>
                <w:sz w:val="28"/>
                <w:szCs w:val="28"/>
                <w:rtl/>
              </w:rPr>
              <w:t xml:space="preserve"> יהונתן </w:t>
            </w:r>
            <w:proofErr w:type="spellStart"/>
            <w:r w:rsidRPr="002E7A66">
              <w:rPr>
                <w:rFonts w:ascii="FrankRuehl" w:hAnsi="FrankRuehl" w:cs="FrankRuehl"/>
                <w:b/>
                <w:bCs/>
                <w:spacing w:val="10"/>
                <w:sz w:val="28"/>
                <w:szCs w:val="28"/>
                <w:rtl/>
              </w:rPr>
              <w:t>גולדין</w:t>
            </w:r>
            <w:proofErr w:type="spellEnd"/>
          </w:p>
        </w:tc>
      </w:tr>
      <w:tr w:rsidR="003D3568" w:rsidRPr="002E7A66" w14:paraId="0A851884" w14:textId="77777777" w:rsidTr="00EE1544">
        <w:trPr>
          <w:cantSplit/>
        </w:trPr>
        <w:tc>
          <w:tcPr>
            <w:tcW w:w="852" w:type="pct"/>
          </w:tcPr>
          <w:p w14:paraId="41DB2DE4"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107C520E"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0C64AED8"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9</w:t>
            </w:r>
            <w:r>
              <w:rPr>
                <w:rFonts w:ascii="FrankRuehl" w:hAnsi="FrankRuehl" w:cs="FrankRuehl" w:hint="cs"/>
                <w:b/>
                <w:bCs/>
                <w:spacing w:val="10"/>
                <w:sz w:val="28"/>
                <w:szCs w:val="28"/>
                <w:rtl/>
              </w:rPr>
              <w:t>.</w:t>
            </w:r>
          </w:p>
        </w:tc>
        <w:tc>
          <w:tcPr>
            <w:tcW w:w="3322" w:type="pct"/>
          </w:tcPr>
          <w:p w14:paraId="0D943A16" w14:textId="1264B4B6" w:rsidR="003D3568" w:rsidRPr="002E7A66" w:rsidRDefault="003D3568" w:rsidP="00D076E3">
            <w:pPr>
              <w:spacing w:before="100" w:beforeAutospacing="1" w:after="100" w:afterAutospacing="1" w:line="276" w:lineRule="auto"/>
              <w:rPr>
                <w:rFonts w:ascii="FrankRuehl" w:hAnsi="FrankRuehl" w:cs="FrankRuehl"/>
                <w:spacing w:val="10"/>
                <w:sz w:val="28"/>
                <w:szCs w:val="28"/>
              </w:rPr>
            </w:pPr>
            <w:proofErr w:type="spellStart"/>
            <w:r w:rsidRPr="002E7A66">
              <w:rPr>
                <w:rFonts w:ascii="FrankRuehl" w:hAnsi="FrankRuehl" w:cs="FrankRuehl"/>
                <w:b/>
                <w:bCs/>
                <w:spacing w:val="10"/>
                <w:sz w:val="28"/>
                <w:szCs w:val="28"/>
              </w:rPr>
              <w:t>ישורון</w:t>
            </w:r>
            <w:proofErr w:type="spellEnd"/>
            <w:r w:rsidRPr="002E7A66">
              <w:rPr>
                <w:rFonts w:ascii="FrankRuehl" w:hAnsi="FrankRuehl" w:cs="FrankRuehl"/>
                <w:b/>
                <w:bCs/>
                <w:spacing w:val="10"/>
                <w:sz w:val="28"/>
                <w:szCs w:val="28"/>
              </w:rPr>
              <w:t xml:space="preserve"> </w:t>
            </w:r>
            <w:proofErr w:type="spellStart"/>
            <w:r w:rsidRPr="002E7A66">
              <w:rPr>
                <w:rFonts w:ascii="FrankRuehl" w:hAnsi="FrankRuehl" w:cs="FrankRuehl"/>
                <w:b/>
                <w:bCs/>
                <w:spacing w:val="10"/>
                <w:sz w:val="28"/>
                <w:szCs w:val="28"/>
              </w:rPr>
              <w:t>עמי</w:t>
            </w:r>
            <w:proofErr w:type="spellEnd"/>
          </w:p>
        </w:tc>
      </w:tr>
      <w:tr w:rsidR="003D3568" w:rsidRPr="002E7A66" w14:paraId="407DD24E" w14:textId="77777777" w:rsidTr="00EE1544">
        <w:trPr>
          <w:cantSplit/>
        </w:trPr>
        <w:tc>
          <w:tcPr>
            <w:tcW w:w="852" w:type="pct"/>
          </w:tcPr>
          <w:p w14:paraId="2F0A2E1C"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3497BDD1"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3C59C601"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10</w:t>
            </w:r>
            <w:r>
              <w:rPr>
                <w:rFonts w:ascii="FrankRuehl" w:hAnsi="FrankRuehl" w:cs="FrankRuehl" w:hint="cs"/>
                <w:b/>
                <w:bCs/>
                <w:spacing w:val="10"/>
                <w:sz w:val="28"/>
                <w:szCs w:val="28"/>
                <w:rtl/>
              </w:rPr>
              <w:t>.</w:t>
            </w:r>
          </w:p>
        </w:tc>
        <w:tc>
          <w:tcPr>
            <w:tcW w:w="3322" w:type="pct"/>
          </w:tcPr>
          <w:p w14:paraId="5B0DEE5A" w14:textId="32AC571D"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proofErr w:type="spellStart"/>
            <w:r w:rsidRPr="002E7A66">
              <w:rPr>
                <w:rFonts w:ascii="FrankRuehl" w:hAnsi="FrankRuehl" w:cs="FrankRuehl"/>
                <w:b/>
                <w:bCs/>
                <w:spacing w:val="10"/>
                <w:sz w:val="28"/>
                <w:szCs w:val="28"/>
                <w:rtl/>
              </w:rPr>
              <w:t>קוטנר</w:t>
            </w:r>
            <w:proofErr w:type="spellEnd"/>
            <w:r w:rsidRPr="002E7A66">
              <w:rPr>
                <w:rFonts w:ascii="FrankRuehl" w:hAnsi="FrankRuehl" w:cs="FrankRuehl"/>
                <w:b/>
                <w:bCs/>
                <w:spacing w:val="10"/>
                <w:sz w:val="28"/>
                <w:szCs w:val="28"/>
                <w:rtl/>
              </w:rPr>
              <w:t xml:space="preserve"> יותם</w:t>
            </w:r>
          </w:p>
        </w:tc>
      </w:tr>
      <w:tr w:rsidR="003D3568" w:rsidRPr="002E7A66" w14:paraId="08E70BA3" w14:textId="77777777" w:rsidTr="00EE1544">
        <w:trPr>
          <w:cantSplit/>
        </w:trPr>
        <w:tc>
          <w:tcPr>
            <w:tcW w:w="852" w:type="pct"/>
          </w:tcPr>
          <w:p w14:paraId="35F9CB7C"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4B002305"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5F4C61E3"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11</w:t>
            </w:r>
            <w:r>
              <w:rPr>
                <w:rFonts w:ascii="FrankRuehl" w:hAnsi="FrankRuehl" w:cs="FrankRuehl" w:hint="cs"/>
                <w:b/>
                <w:bCs/>
                <w:spacing w:val="10"/>
                <w:sz w:val="28"/>
                <w:szCs w:val="28"/>
                <w:rtl/>
              </w:rPr>
              <w:t>.</w:t>
            </w:r>
          </w:p>
        </w:tc>
        <w:tc>
          <w:tcPr>
            <w:tcW w:w="3322" w:type="pct"/>
          </w:tcPr>
          <w:p w14:paraId="105430F6" w14:textId="070F60B6"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r w:rsidRPr="002E7A66">
              <w:rPr>
                <w:rFonts w:ascii="FrankRuehl" w:hAnsi="FrankRuehl" w:cs="FrankRuehl"/>
                <w:b/>
                <w:bCs/>
                <w:spacing w:val="10"/>
                <w:sz w:val="28"/>
                <w:szCs w:val="28"/>
                <w:rtl/>
              </w:rPr>
              <w:t>טל שולמית</w:t>
            </w:r>
          </w:p>
        </w:tc>
      </w:tr>
      <w:tr w:rsidR="003D3568" w:rsidRPr="002E7A66" w14:paraId="642BFF80" w14:textId="77777777" w:rsidTr="00EE1544">
        <w:trPr>
          <w:cantSplit/>
        </w:trPr>
        <w:tc>
          <w:tcPr>
            <w:tcW w:w="852" w:type="pct"/>
          </w:tcPr>
          <w:p w14:paraId="22B61D85"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3F973EB9"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284E1D05" w14:textId="77777777" w:rsidR="003D3568" w:rsidRPr="002E7A66" w:rsidRDefault="003D3568" w:rsidP="00D076E3">
            <w:pPr>
              <w:spacing w:before="100" w:beforeAutospacing="1" w:after="100" w:afterAutospacing="1"/>
              <w:rPr>
                <w:rFonts w:ascii="FrankRuehl" w:hAnsi="FrankRuehl" w:cs="FrankRuehl"/>
                <w:b/>
                <w:bCs/>
                <w:spacing w:val="10"/>
                <w:sz w:val="28"/>
                <w:szCs w:val="28"/>
                <w:rtl/>
              </w:rPr>
            </w:pPr>
            <w:r>
              <w:rPr>
                <w:rFonts w:ascii="FrankRuehl" w:hAnsi="FrankRuehl" w:cs="FrankRuehl" w:hint="cs"/>
                <w:b/>
                <w:bCs/>
                <w:spacing w:val="10"/>
                <w:sz w:val="28"/>
                <w:szCs w:val="28"/>
                <w:rtl/>
              </w:rPr>
              <w:t>12.</w:t>
            </w:r>
          </w:p>
        </w:tc>
        <w:tc>
          <w:tcPr>
            <w:tcW w:w="3322" w:type="pct"/>
          </w:tcPr>
          <w:p w14:paraId="57BC0C2D" w14:textId="2C8D523B" w:rsidR="003D3568" w:rsidRPr="00EB102F" w:rsidRDefault="003D3568" w:rsidP="00D076E3">
            <w:pPr>
              <w:spacing w:before="100" w:beforeAutospacing="1" w:after="100" w:afterAutospacing="1" w:line="276" w:lineRule="auto"/>
              <w:rPr>
                <w:rFonts w:ascii="FrankRuehl" w:hAnsi="FrankRuehl" w:cs="FrankRuehl"/>
                <w:spacing w:val="10"/>
                <w:sz w:val="28"/>
                <w:szCs w:val="28"/>
                <w:rtl/>
              </w:rPr>
            </w:pPr>
            <w:r>
              <w:rPr>
                <w:rFonts w:ascii="FrankRuehl" w:hAnsi="FrankRuehl" w:cs="FrankRuehl" w:hint="cs"/>
                <w:b/>
                <w:bCs/>
                <w:spacing w:val="10"/>
                <w:sz w:val="28"/>
                <w:szCs w:val="28"/>
                <w:rtl/>
              </w:rPr>
              <w:t>גרופית הנדסה אזרחית ועבודות ציבוריות בע"מ</w:t>
            </w:r>
          </w:p>
        </w:tc>
      </w:tr>
      <w:tr w:rsidR="003D3568" w:rsidRPr="002E7A66" w14:paraId="60B23841" w14:textId="77777777" w:rsidTr="00EE1544">
        <w:trPr>
          <w:cantSplit/>
        </w:trPr>
        <w:tc>
          <w:tcPr>
            <w:tcW w:w="852" w:type="pct"/>
          </w:tcPr>
          <w:p w14:paraId="06F5B396"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1AF72C0E"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1761CF28"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322" w:type="pct"/>
          </w:tcPr>
          <w:p w14:paraId="1E55029B" w14:textId="08334377" w:rsidR="003D3568" w:rsidRDefault="003D3568" w:rsidP="00D076E3">
            <w:pPr>
              <w:spacing w:before="100" w:beforeAutospacing="1" w:after="100" w:afterAutospacing="1" w:line="276" w:lineRule="auto"/>
              <w:rPr>
                <w:rFonts w:ascii="FrankRuehl" w:hAnsi="FrankRuehl" w:cs="FrankRuehl"/>
                <w:spacing w:val="10"/>
                <w:sz w:val="28"/>
                <w:szCs w:val="28"/>
              </w:rPr>
            </w:pPr>
            <w:r w:rsidRPr="002E7A66">
              <w:rPr>
                <w:rFonts w:ascii="FrankRuehl" w:hAnsi="FrankRuehl" w:cs="FrankRuehl"/>
                <w:spacing w:val="10"/>
                <w:sz w:val="28"/>
                <w:szCs w:val="28"/>
                <w:rtl/>
              </w:rPr>
              <w:t>באמצעות ב"כ: עו</w:t>
            </w:r>
            <w:r>
              <w:rPr>
                <w:rFonts w:ascii="FrankRuehl" w:hAnsi="FrankRuehl" w:cs="FrankRuehl" w:hint="cs"/>
                <w:spacing w:val="10"/>
                <w:sz w:val="28"/>
                <w:szCs w:val="28"/>
                <w:rtl/>
              </w:rPr>
              <w:t>ה</w:t>
            </w:r>
            <w:r w:rsidRPr="002E7A66">
              <w:rPr>
                <w:rFonts w:ascii="FrankRuehl" w:hAnsi="FrankRuehl" w:cs="FrankRuehl"/>
                <w:spacing w:val="10"/>
                <w:sz w:val="28"/>
                <w:szCs w:val="28"/>
                <w:rtl/>
              </w:rPr>
              <w:t xml:space="preserve">"ד </w:t>
            </w:r>
            <w:proofErr w:type="spellStart"/>
            <w:r w:rsidRPr="002E7A66">
              <w:rPr>
                <w:rFonts w:ascii="FrankRuehl" w:hAnsi="FrankRuehl" w:cs="FrankRuehl"/>
                <w:spacing w:val="10"/>
                <w:sz w:val="28"/>
                <w:szCs w:val="28"/>
                <w:rtl/>
              </w:rPr>
              <w:t>גרומן</w:t>
            </w:r>
            <w:proofErr w:type="spellEnd"/>
            <w:r w:rsidRPr="002E7A66">
              <w:rPr>
                <w:rFonts w:ascii="FrankRuehl" w:hAnsi="FrankRuehl" w:cs="FrankRuehl"/>
                <w:spacing w:val="10"/>
                <w:sz w:val="28"/>
                <w:szCs w:val="28"/>
                <w:rtl/>
              </w:rPr>
              <w:t xml:space="preserve"> זיו</w:t>
            </w:r>
            <w:r>
              <w:rPr>
                <w:rFonts w:ascii="FrankRuehl" w:hAnsi="FrankRuehl" w:cs="FrankRuehl" w:hint="cs"/>
                <w:spacing w:val="10"/>
                <w:sz w:val="28"/>
                <w:szCs w:val="28"/>
                <w:rtl/>
              </w:rPr>
              <w:t xml:space="preserve"> וניל </w:t>
            </w:r>
            <w:proofErr w:type="spellStart"/>
            <w:r>
              <w:rPr>
                <w:rFonts w:ascii="FrankRuehl" w:hAnsi="FrankRuehl" w:cs="FrankRuehl" w:hint="cs"/>
                <w:spacing w:val="10"/>
                <w:sz w:val="28"/>
                <w:szCs w:val="28"/>
                <w:rtl/>
              </w:rPr>
              <w:t>בונפליד</w:t>
            </w:r>
            <w:proofErr w:type="spellEnd"/>
            <w:r w:rsidRPr="002E7A66">
              <w:rPr>
                <w:rFonts w:ascii="FrankRuehl" w:hAnsi="FrankRuehl" w:cs="FrankRuehl"/>
                <w:spacing w:val="10"/>
                <w:sz w:val="28"/>
                <w:szCs w:val="28"/>
              </w:rPr>
              <w:br/>
            </w:r>
            <w:r w:rsidRPr="002E7A66">
              <w:rPr>
                <w:rFonts w:ascii="FrankRuehl" w:hAnsi="FrankRuehl" w:cs="FrankRuehl"/>
                <w:spacing w:val="10"/>
                <w:sz w:val="28"/>
                <w:szCs w:val="28"/>
                <w:rtl/>
              </w:rPr>
              <w:t>בר כוכבא 23, בני ברק</w:t>
            </w:r>
            <w:r w:rsidRPr="002E7A66">
              <w:rPr>
                <w:rFonts w:ascii="FrankRuehl" w:hAnsi="FrankRuehl" w:cs="FrankRuehl"/>
                <w:spacing w:val="10"/>
                <w:sz w:val="28"/>
                <w:szCs w:val="28"/>
              </w:rPr>
              <w:br/>
            </w:r>
            <w:r w:rsidRPr="002E7A66">
              <w:rPr>
                <w:rFonts w:ascii="FrankRuehl" w:hAnsi="FrankRuehl" w:cs="FrankRuehl"/>
                <w:spacing w:val="10"/>
                <w:sz w:val="28"/>
                <w:szCs w:val="28"/>
                <w:rtl/>
              </w:rPr>
              <w:t>טל':037794004 פקס:037794005</w:t>
            </w:r>
            <w:r w:rsidRPr="002E7A66">
              <w:rPr>
                <w:rFonts w:ascii="FrankRuehl" w:hAnsi="FrankRuehl" w:cs="FrankRuehl"/>
                <w:spacing w:val="10"/>
                <w:sz w:val="28"/>
                <w:szCs w:val="28"/>
              </w:rPr>
              <w:br/>
            </w:r>
            <w:r>
              <w:rPr>
                <w:rFonts w:ascii="FrankRuehl" w:hAnsi="FrankRuehl" w:cs="FrankRuehl" w:hint="cs"/>
                <w:spacing w:val="10"/>
                <w:sz w:val="28"/>
                <w:szCs w:val="28"/>
                <w:rtl/>
              </w:rPr>
              <w:t xml:space="preserve">דוא"ל: </w:t>
            </w:r>
            <w:r w:rsidRPr="006A32EC">
              <w:rPr>
                <w:rFonts w:ascii="FrankRuehl" w:hAnsi="FrankRuehl" w:cs="FrankRuehl"/>
                <w:spacing w:val="10"/>
                <w:sz w:val="28"/>
                <w:szCs w:val="28"/>
              </w:rPr>
              <w:t>niel@groman.co.il</w:t>
            </w:r>
          </w:p>
          <w:p w14:paraId="3E51BC51" w14:textId="77777777" w:rsidR="003D3568" w:rsidRPr="00F91976" w:rsidRDefault="003D3568" w:rsidP="00D076E3">
            <w:pPr>
              <w:spacing w:before="100" w:beforeAutospacing="1" w:after="100" w:afterAutospacing="1" w:line="276" w:lineRule="auto"/>
              <w:rPr>
                <w:rFonts w:ascii="FrankRuehl" w:hAnsi="FrankRuehl" w:cs="FrankRuehl"/>
                <w:spacing w:val="10"/>
                <w:sz w:val="28"/>
                <w:szCs w:val="28"/>
              </w:rPr>
            </w:pPr>
          </w:p>
        </w:tc>
      </w:tr>
      <w:tr w:rsidR="003D3568" w:rsidRPr="002E7A66" w14:paraId="2DC26532" w14:textId="77777777" w:rsidTr="00EE1544">
        <w:trPr>
          <w:cantSplit/>
        </w:trPr>
        <w:tc>
          <w:tcPr>
            <w:tcW w:w="852" w:type="pct"/>
          </w:tcPr>
          <w:p w14:paraId="302504BC"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p>
        </w:tc>
        <w:tc>
          <w:tcPr>
            <w:tcW w:w="482" w:type="pct"/>
          </w:tcPr>
          <w:p w14:paraId="17336216"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2946ABE7"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r w:rsidRPr="002E7A66">
              <w:rPr>
                <w:rFonts w:ascii="FrankRuehl" w:hAnsi="FrankRuehl" w:cs="FrankRuehl"/>
                <w:b/>
                <w:bCs/>
                <w:spacing w:val="10"/>
                <w:sz w:val="28"/>
                <w:szCs w:val="28"/>
                <w:rtl/>
              </w:rPr>
              <w:t>נגד</w:t>
            </w:r>
            <w:r w:rsidRPr="002E7A66">
              <w:rPr>
                <w:rFonts w:ascii="FrankRuehl" w:hAnsi="FrankRuehl" w:cs="FrankRuehl"/>
                <w:b/>
                <w:bCs/>
                <w:spacing w:val="10"/>
                <w:sz w:val="28"/>
                <w:szCs w:val="28"/>
              </w:rPr>
              <w:br/>
            </w:r>
          </w:p>
        </w:tc>
        <w:tc>
          <w:tcPr>
            <w:tcW w:w="3322" w:type="pct"/>
          </w:tcPr>
          <w:p w14:paraId="173D8274" w14:textId="77777777" w:rsidR="003D3568" w:rsidRPr="002E7A66" w:rsidRDefault="003D3568" w:rsidP="00D076E3">
            <w:pPr>
              <w:spacing w:before="100" w:beforeAutospacing="1" w:after="100" w:afterAutospacing="1" w:line="276" w:lineRule="auto"/>
              <w:rPr>
                <w:rFonts w:ascii="FrankRuehl" w:hAnsi="FrankRuehl" w:cs="FrankRuehl"/>
                <w:spacing w:val="10"/>
                <w:sz w:val="28"/>
                <w:szCs w:val="28"/>
                <w:rtl/>
              </w:rPr>
            </w:pPr>
          </w:p>
        </w:tc>
      </w:tr>
      <w:tr w:rsidR="003D3568" w:rsidRPr="002E7A66" w14:paraId="40EB5B29" w14:textId="77777777" w:rsidTr="00EE1544">
        <w:trPr>
          <w:cantSplit/>
        </w:trPr>
        <w:tc>
          <w:tcPr>
            <w:tcW w:w="852" w:type="pct"/>
          </w:tcPr>
          <w:p w14:paraId="15B10CD4" w14:textId="77777777" w:rsidR="003D3568" w:rsidRPr="002E7A66" w:rsidRDefault="003D3568" w:rsidP="00D076E3">
            <w:pPr>
              <w:spacing w:before="100" w:beforeAutospacing="1" w:after="100" w:afterAutospacing="1" w:line="276" w:lineRule="auto"/>
              <w:rPr>
                <w:rFonts w:ascii="FrankRuehl" w:hAnsi="FrankRuehl" w:cs="FrankRuehl"/>
                <w:b/>
                <w:bCs/>
                <w:spacing w:val="10"/>
                <w:sz w:val="28"/>
                <w:szCs w:val="28"/>
                <w:rtl/>
              </w:rPr>
            </w:pPr>
            <w:r>
              <w:rPr>
                <w:rFonts w:ascii="FrankRuehl" w:hAnsi="FrankRuehl" w:cs="FrankRuehl" w:hint="cs"/>
                <w:b/>
                <w:bCs/>
                <w:spacing w:val="10"/>
                <w:sz w:val="28"/>
                <w:szCs w:val="28"/>
                <w:rtl/>
              </w:rPr>
              <w:t>המשיבה:</w:t>
            </w:r>
          </w:p>
        </w:tc>
        <w:tc>
          <w:tcPr>
            <w:tcW w:w="482" w:type="pct"/>
          </w:tcPr>
          <w:p w14:paraId="4445D671"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44" w:type="pct"/>
          </w:tcPr>
          <w:p w14:paraId="46407415" w14:textId="77777777" w:rsidR="003D3568" w:rsidRPr="002E7A66" w:rsidRDefault="003D3568" w:rsidP="00D076E3">
            <w:pPr>
              <w:spacing w:before="100" w:beforeAutospacing="1" w:after="100" w:afterAutospacing="1"/>
              <w:rPr>
                <w:rFonts w:ascii="FrankRuehl" w:hAnsi="FrankRuehl" w:cs="FrankRuehl"/>
                <w:b/>
                <w:bCs/>
                <w:spacing w:val="10"/>
                <w:sz w:val="28"/>
                <w:szCs w:val="28"/>
              </w:rPr>
            </w:pPr>
          </w:p>
        </w:tc>
        <w:tc>
          <w:tcPr>
            <w:tcW w:w="3322" w:type="pct"/>
          </w:tcPr>
          <w:p w14:paraId="31B22AF6" w14:textId="43A18EDD" w:rsidR="003D3568" w:rsidRDefault="003D3568" w:rsidP="00D076E3">
            <w:pPr>
              <w:spacing w:before="100" w:beforeAutospacing="1" w:after="100" w:afterAutospacing="1" w:line="276" w:lineRule="auto"/>
              <w:rPr>
                <w:rFonts w:ascii="FrankRuehl" w:hAnsi="FrankRuehl" w:cs="FrankRuehl"/>
                <w:spacing w:val="10"/>
                <w:sz w:val="28"/>
                <w:szCs w:val="28"/>
              </w:rPr>
            </w:pPr>
            <w:r w:rsidRPr="002E7A66">
              <w:rPr>
                <w:rFonts w:ascii="FrankRuehl" w:hAnsi="FrankRuehl" w:cs="FrankRuehl"/>
                <w:b/>
                <w:bCs/>
                <w:spacing w:val="10"/>
                <w:sz w:val="28"/>
                <w:szCs w:val="28"/>
                <w:rtl/>
              </w:rPr>
              <w:t>פורד אלונה</w:t>
            </w:r>
            <w:r w:rsidRPr="002E7A66">
              <w:rPr>
                <w:rFonts w:ascii="FrankRuehl" w:hAnsi="FrankRuehl" w:cs="FrankRuehl"/>
                <w:spacing w:val="10"/>
                <w:sz w:val="28"/>
                <w:szCs w:val="28"/>
              </w:rPr>
              <w:br/>
            </w:r>
            <w:r w:rsidRPr="002E7A66">
              <w:rPr>
                <w:rFonts w:ascii="FrankRuehl" w:hAnsi="FrankRuehl" w:cs="FrankRuehl"/>
                <w:spacing w:val="10"/>
                <w:sz w:val="28"/>
                <w:szCs w:val="28"/>
                <w:rtl/>
              </w:rPr>
              <w:t xml:space="preserve">באמצעות ב"כ: עו"ד </w:t>
            </w:r>
            <w:proofErr w:type="spellStart"/>
            <w:r w:rsidRPr="002E7A66">
              <w:rPr>
                <w:rFonts w:ascii="FrankRuehl" w:hAnsi="FrankRuehl" w:cs="FrankRuehl"/>
                <w:spacing w:val="10"/>
                <w:sz w:val="28"/>
                <w:szCs w:val="28"/>
                <w:rtl/>
              </w:rPr>
              <w:t>וידנה</w:t>
            </w:r>
            <w:proofErr w:type="spellEnd"/>
            <w:r w:rsidRPr="002E7A66">
              <w:rPr>
                <w:rFonts w:ascii="FrankRuehl" w:hAnsi="FrankRuehl" w:cs="FrankRuehl"/>
                <w:spacing w:val="10"/>
                <w:sz w:val="28"/>
                <w:szCs w:val="28"/>
                <w:rtl/>
              </w:rPr>
              <w:t xml:space="preserve"> יאיר</w:t>
            </w:r>
            <w:r w:rsidRPr="002E7A66">
              <w:rPr>
                <w:rFonts w:ascii="FrankRuehl" w:hAnsi="FrankRuehl" w:cs="FrankRuehl"/>
                <w:spacing w:val="10"/>
                <w:sz w:val="28"/>
                <w:szCs w:val="28"/>
              </w:rPr>
              <w:br/>
            </w:r>
            <w:r w:rsidRPr="002E7A66">
              <w:rPr>
                <w:rFonts w:ascii="FrankRuehl" w:hAnsi="FrankRuehl" w:cs="FrankRuehl"/>
                <w:spacing w:val="10"/>
                <w:sz w:val="28"/>
                <w:szCs w:val="28"/>
                <w:rtl/>
              </w:rPr>
              <w:t>הסדנא 7, רעננה</w:t>
            </w:r>
            <w:r w:rsidRPr="002E7A66">
              <w:rPr>
                <w:rFonts w:ascii="FrankRuehl" w:hAnsi="FrankRuehl" w:cs="FrankRuehl"/>
                <w:spacing w:val="10"/>
                <w:sz w:val="28"/>
                <w:szCs w:val="28"/>
              </w:rPr>
              <w:br/>
            </w:r>
            <w:r w:rsidRPr="002E7A66">
              <w:rPr>
                <w:rFonts w:ascii="FrankRuehl" w:hAnsi="FrankRuehl" w:cs="FrankRuehl"/>
                <w:spacing w:val="10"/>
                <w:sz w:val="28"/>
                <w:szCs w:val="28"/>
                <w:rtl/>
              </w:rPr>
              <w:t xml:space="preserve">טל':0508223837 </w:t>
            </w:r>
            <w:r w:rsidRPr="002E7A66">
              <w:rPr>
                <w:rFonts w:ascii="FrankRuehl" w:hAnsi="FrankRuehl" w:cs="FrankRuehl"/>
                <w:spacing w:val="10"/>
                <w:sz w:val="28"/>
                <w:szCs w:val="28"/>
              </w:rPr>
              <w:br/>
            </w:r>
            <w:r>
              <w:rPr>
                <w:rFonts w:ascii="FrankRuehl" w:hAnsi="FrankRuehl" w:cs="FrankRuehl" w:hint="cs"/>
                <w:spacing w:val="10"/>
                <w:sz w:val="28"/>
                <w:szCs w:val="28"/>
                <w:rtl/>
              </w:rPr>
              <w:t xml:space="preserve">דוא"ל: </w:t>
            </w:r>
            <w:r w:rsidRPr="006A32EC">
              <w:rPr>
                <w:rFonts w:ascii="FrankRuehl" w:hAnsi="FrankRuehl" w:cs="FrankRuehl"/>
                <w:spacing w:val="10"/>
                <w:sz w:val="28"/>
                <w:szCs w:val="28"/>
              </w:rPr>
              <w:t>advocate@bezeqint.net</w:t>
            </w:r>
          </w:p>
          <w:p w14:paraId="1B26F756" w14:textId="77777777" w:rsidR="003D3568" w:rsidRPr="00F91976" w:rsidRDefault="003D3568" w:rsidP="00D076E3">
            <w:pPr>
              <w:spacing w:before="100" w:beforeAutospacing="1" w:after="100" w:afterAutospacing="1" w:line="276" w:lineRule="auto"/>
              <w:rPr>
                <w:rFonts w:ascii="FrankRuehl" w:hAnsi="FrankRuehl" w:cs="FrankRuehl"/>
                <w:spacing w:val="10"/>
                <w:sz w:val="28"/>
                <w:szCs w:val="28"/>
              </w:rPr>
            </w:pPr>
          </w:p>
        </w:tc>
      </w:tr>
    </w:tbl>
    <w:p w14:paraId="20150139" w14:textId="77777777" w:rsidR="003D3568" w:rsidRPr="00C90DD7" w:rsidRDefault="003D3568" w:rsidP="003D3568">
      <w:pPr>
        <w:suppressLineNumbers/>
        <w:spacing w:after="120" w:line="360" w:lineRule="auto"/>
        <w:contextualSpacing w:val="0"/>
        <w:jc w:val="center"/>
        <w:rPr>
          <w:rFonts w:ascii="FrankRuehl" w:hAnsi="FrankRuehl" w:cs="FrankRuehl"/>
          <w:b/>
          <w:bCs/>
          <w:noProof/>
          <w:spacing w:val="10"/>
          <w:sz w:val="32"/>
          <w:szCs w:val="32"/>
          <w:u w:val="single"/>
          <w:rtl/>
        </w:rPr>
      </w:pPr>
    </w:p>
    <w:p w14:paraId="60DCAC91" w14:textId="77777777" w:rsidR="003D3568" w:rsidRPr="00CA14FC" w:rsidRDefault="003D3568" w:rsidP="000F30A9">
      <w:pPr>
        <w:suppressLineNumbers/>
        <w:spacing w:after="120" w:line="360" w:lineRule="auto"/>
        <w:contextualSpacing w:val="0"/>
        <w:jc w:val="center"/>
        <w:outlineLvl w:val="0"/>
        <w:rPr>
          <w:rFonts w:ascii="FrankRuehl" w:hAnsi="FrankRuehl" w:cs="FrankRuehl"/>
          <w:b/>
          <w:bCs/>
          <w:spacing w:val="10"/>
          <w:sz w:val="48"/>
          <w:szCs w:val="48"/>
          <w:u w:val="single"/>
        </w:rPr>
      </w:pPr>
      <w:r>
        <w:rPr>
          <w:rFonts w:ascii="FrankRuehl" w:hAnsi="FrankRuehl" w:cs="FrankRuehl" w:hint="cs"/>
          <w:b/>
          <w:bCs/>
          <w:noProof/>
          <w:spacing w:val="10"/>
          <w:sz w:val="48"/>
          <w:szCs w:val="48"/>
          <w:u w:val="single"/>
          <w:rtl/>
        </w:rPr>
        <w:t>החלטה</w:t>
      </w:r>
    </w:p>
    <w:p w14:paraId="0CD50DBF"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C810DF">
        <w:rPr>
          <w:rFonts w:cs="FrankRuehl" w:hint="cs"/>
          <w:spacing w:val="10"/>
          <w:sz w:val="28"/>
          <w:szCs w:val="28"/>
          <w:rtl/>
        </w:rPr>
        <w:t>בקשה לעיון חוזר</w:t>
      </w:r>
      <w:r>
        <w:rPr>
          <w:rFonts w:cs="FrankRuehl" w:hint="cs"/>
          <w:spacing w:val="10"/>
          <w:sz w:val="28"/>
          <w:szCs w:val="28"/>
          <w:rtl/>
        </w:rPr>
        <w:t xml:space="preserve"> בהחלטה מיום 24.7.2024. </w:t>
      </w:r>
    </w:p>
    <w:p w14:paraId="647D0E68"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C00324">
        <w:rPr>
          <w:rFonts w:cs="FrankRuehl" w:hint="cs"/>
          <w:spacing w:val="10"/>
          <w:sz w:val="28"/>
          <w:szCs w:val="28"/>
          <w:rtl/>
        </w:rPr>
        <w:lastRenderedPageBreak/>
        <w:t xml:space="preserve">עניינו של ההליך העיקרי במתן צו המאשר ביצוע עבודות מסוג הריסה ובניה ברכוש משותף בבית משותף </w:t>
      </w:r>
      <w:r>
        <w:rPr>
          <w:rFonts w:cs="FrankRuehl" w:hint="cs"/>
          <w:spacing w:val="10"/>
          <w:sz w:val="28"/>
          <w:szCs w:val="28"/>
          <w:rtl/>
        </w:rPr>
        <w:t xml:space="preserve">ברחוב </w:t>
      </w:r>
      <w:r w:rsidRPr="00C00324">
        <w:rPr>
          <w:rFonts w:cs="FrankRuehl" w:hint="cs"/>
          <w:spacing w:val="10"/>
          <w:sz w:val="28"/>
          <w:szCs w:val="28"/>
          <w:rtl/>
        </w:rPr>
        <w:t xml:space="preserve">דה </w:t>
      </w:r>
      <w:proofErr w:type="spellStart"/>
      <w:r w:rsidRPr="00C00324">
        <w:rPr>
          <w:rFonts w:cs="FrankRuehl" w:hint="cs"/>
          <w:spacing w:val="10"/>
          <w:sz w:val="28"/>
          <w:szCs w:val="28"/>
          <w:rtl/>
        </w:rPr>
        <w:t>האז</w:t>
      </w:r>
      <w:proofErr w:type="spellEnd"/>
      <w:r w:rsidRPr="00C00324">
        <w:rPr>
          <w:rFonts w:cs="FrankRuehl" w:hint="cs"/>
          <w:spacing w:val="10"/>
          <w:sz w:val="28"/>
          <w:szCs w:val="28"/>
          <w:rtl/>
        </w:rPr>
        <w:t xml:space="preserve"> 14 בתל אביב, </w:t>
      </w:r>
      <w:r>
        <w:rPr>
          <w:rFonts w:cs="FrankRuehl" w:hint="cs"/>
          <w:spacing w:val="10"/>
          <w:sz w:val="28"/>
          <w:szCs w:val="28"/>
          <w:rtl/>
        </w:rPr>
        <w:t xml:space="preserve">על פי תמ"א 38 (תכנית </w:t>
      </w:r>
      <w:proofErr w:type="spellStart"/>
      <w:r>
        <w:rPr>
          <w:rFonts w:cs="FrankRuehl" w:hint="cs"/>
          <w:spacing w:val="10"/>
          <w:sz w:val="28"/>
          <w:szCs w:val="28"/>
          <w:rtl/>
        </w:rPr>
        <w:t>מיתאר</w:t>
      </w:r>
      <w:proofErr w:type="spellEnd"/>
      <w:r>
        <w:rPr>
          <w:rFonts w:cs="FrankRuehl" w:hint="cs"/>
          <w:spacing w:val="10"/>
          <w:sz w:val="28"/>
          <w:szCs w:val="28"/>
          <w:rtl/>
        </w:rPr>
        <w:t xml:space="preserve"> ארצית לחיזוק מבנים קיימים מפני רעידות אדמה), בהתאם להוראות סעיף 5א לחוק המקרקעין (חיזוק בתים משותפים מפני רעידות אדמה), תשס"ח-2008. </w:t>
      </w:r>
    </w:p>
    <w:p w14:paraId="2C9EAA90" w14:textId="77777777" w:rsidR="003D3568" w:rsidRPr="00DB67E6"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C00324">
        <w:rPr>
          <w:rFonts w:cs="FrankRuehl" w:hint="cs"/>
          <w:spacing w:val="10"/>
          <w:sz w:val="28"/>
          <w:szCs w:val="28"/>
          <w:rtl/>
        </w:rPr>
        <w:t>הצדדים להליך הם בעלי</w:t>
      </w:r>
      <w:r>
        <w:rPr>
          <w:rFonts w:cs="FrankRuehl" w:hint="cs"/>
          <w:spacing w:val="10"/>
          <w:sz w:val="28"/>
          <w:szCs w:val="28"/>
          <w:rtl/>
        </w:rPr>
        <w:t xml:space="preserve">ם של </w:t>
      </w:r>
      <w:r w:rsidRPr="00DB67E6">
        <w:rPr>
          <w:rFonts w:cs="FrankRuehl" w:hint="cs"/>
          <w:spacing w:val="10"/>
          <w:sz w:val="28"/>
          <w:szCs w:val="28"/>
          <w:rtl/>
        </w:rPr>
        <w:t>דירות בבית המשותף.</w:t>
      </w:r>
    </w:p>
    <w:p w14:paraId="5E0216AD"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בהחלטה מיום 9.3.2023, אשר ניתנה במעמד הדיון, מונה בהסכמת הצדדים מומחה מטעם המפקחת על רישום מקרקעין, שמאי המקרקעין שלומי מערבי, ליתן חוות דעת בשאלה האם נפגע עקרון שוויון התמורות ביחס לדירות התמורה הניתנות לצדדים בהתאם להסכם לביצוע פרויקט תמ"א 38 בבית המשותף שעליו חתמו המבקשים וחברת גרופית הנדסה אזרחית ועבודות ציבוריות בע"מ </w:t>
      </w:r>
      <w:r w:rsidRPr="00EB102F">
        <w:rPr>
          <w:rFonts w:ascii="FrankRuehl" w:hAnsi="FrankRuehl" w:cs="FrankRuehl" w:hint="cs"/>
          <w:spacing w:val="10"/>
          <w:sz w:val="28"/>
          <w:szCs w:val="28"/>
          <w:rtl/>
        </w:rPr>
        <w:t xml:space="preserve">(להלן - </w:t>
      </w:r>
      <w:r w:rsidRPr="00EB102F">
        <w:rPr>
          <w:rFonts w:ascii="FrankRuehl" w:hAnsi="FrankRuehl" w:cs="FrankRuehl" w:hint="cs"/>
          <w:b/>
          <w:bCs/>
          <w:spacing w:val="10"/>
          <w:sz w:val="28"/>
          <w:szCs w:val="28"/>
          <w:rtl/>
        </w:rPr>
        <w:t>"</w:t>
      </w:r>
      <w:r>
        <w:rPr>
          <w:rFonts w:ascii="FrankRuehl" w:hAnsi="FrankRuehl" w:cs="FrankRuehl" w:hint="cs"/>
          <w:b/>
          <w:bCs/>
          <w:spacing w:val="10"/>
          <w:sz w:val="28"/>
          <w:szCs w:val="28"/>
          <w:rtl/>
        </w:rPr>
        <w:t>החברה היזמית</w:t>
      </w:r>
      <w:r w:rsidRPr="00EB102F">
        <w:rPr>
          <w:rFonts w:ascii="FrankRuehl" w:hAnsi="FrankRuehl" w:cs="FrankRuehl" w:hint="cs"/>
          <w:b/>
          <w:bCs/>
          <w:spacing w:val="10"/>
          <w:sz w:val="28"/>
          <w:szCs w:val="28"/>
          <w:rtl/>
        </w:rPr>
        <w:t>"</w:t>
      </w:r>
      <w:r w:rsidRPr="00EB102F">
        <w:rPr>
          <w:rFonts w:ascii="FrankRuehl" w:hAnsi="FrankRuehl" w:cs="FrankRuehl" w:hint="cs"/>
          <w:spacing w:val="10"/>
          <w:sz w:val="28"/>
          <w:szCs w:val="28"/>
          <w:rtl/>
        </w:rPr>
        <w:t>)</w:t>
      </w:r>
      <w:r>
        <w:rPr>
          <w:rFonts w:cs="FrankRuehl" w:hint="cs"/>
          <w:spacing w:val="10"/>
          <w:sz w:val="28"/>
          <w:szCs w:val="28"/>
          <w:rtl/>
        </w:rPr>
        <w:t>.</w:t>
      </w:r>
    </w:p>
    <w:p w14:paraId="112CC5D0"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ביום 11.12.2023 הוגשה לתיק המפקחת על רישום מקרקעין חוות דעת המומחה מיום 17.8.2023 </w:t>
      </w:r>
      <w:r w:rsidRPr="008A03A8">
        <w:rPr>
          <w:rFonts w:ascii="FrankRuehl" w:hAnsi="FrankRuehl" w:cs="FrankRuehl" w:hint="cs"/>
          <w:spacing w:val="10"/>
          <w:sz w:val="28"/>
          <w:szCs w:val="28"/>
          <w:rtl/>
        </w:rPr>
        <w:t xml:space="preserve">(להלן - </w:t>
      </w:r>
      <w:r w:rsidRPr="008A03A8">
        <w:rPr>
          <w:rFonts w:ascii="FrankRuehl" w:hAnsi="FrankRuehl" w:cs="FrankRuehl" w:hint="cs"/>
          <w:b/>
          <w:bCs/>
          <w:spacing w:val="10"/>
          <w:sz w:val="28"/>
          <w:szCs w:val="28"/>
          <w:rtl/>
        </w:rPr>
        <w:t>"</w:t>
      </w:r>
      <w:r>
        <w:rPr>
          <w:rFonts w:ascii="FrankRuehl" w:hAnsi="FrankRuehl" w:cs="FrankRuehl" w:hint="cs"/>
          <w:b/>
          <w:bCs/>
          <w:spacing w:val="10"/>
          <w:sz w:val="28"/>
          <w:szCs w:val="28"/>
          <w:rtl/>
        </w:rPr>
        <w:t>חוות דעת המומחה</w:t>
      </w:r>
      <w:r w:rsidRPr="008A03A8">
        <w:rPr>
          <w:rFonts w:ascii="FrankRuehl" w:hAnsi="FrankRuehl" w:cs="FrankRuehl" w:hint="cs"/>
          <w:b/>
          <w:bCs/>
          <w:spacing w:val="10"/>
          <w:sz w:val="28"/>
          <w:szCs w:val="28"/>
          <w:rtl/>
        </w:rPr>
        <w:t>"</w:t>
      </w:r>
      <w:r w:rsidRPr="008A03A8">
        <w:rPr>
          <w:rFonts w:ascii="FrankRuehl" w:hAnsi="FrankRuehl" w:cs="FrankRuehl" w:hint="cs"/>
          <w:spacing w:val="10"/>
          <w:sz w:val="28"/>
          <w:szCs w:val="28"/>
          <w:rtl/>
        </w:rPr>
        <w:t>)</w:t>
      </w:r>
      <w:r>
        <w:rPr>
          <w:rFonts w:cs="FrankRuehl" w:hint="cs"/>
          <w:spacing w:val="10"/>
          <w:sz w:val="28"/>
          <w:szCs w:val="28"/>
          <w:rtl/>
        </w:rPr>
        <w:t xml:space="preserve">. </w:t>
      </w:r>
    </w:p>
    <w:p w14:paraId="7DAD83AA"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ביום 31.12.2023 ניתן </w:t>
      </w:r>
      <w:r w:rsidRPr="00C005A7">
        <w:rPr>
          <w:rFonts w:ascii="Miriam" w:hAnsi="Miriam" w:cs="Miriam"/>
          <w:spacing w:val="10"/>
          <w:sz w:val="24"/>
          <w:rtl/>
        </w:rPr>
        <w:t>פסק דין חלקי</w:t>
      </w:r>
      <w:r w:rsidRPr="00C00324">
        <w:rPr>
          <w:rFonts w:cs="FrankRuehl" w:hint="cs"/>
          <w:spacing w:val="10"/>
          <w:szCs w:val="22"/>
          <w:rtl/>
        </w:rPr>
        <w:t xml:space="preserve"> </w:t>
      </w:r>
      <w:r>
        <w:rPr>
          <w:rFonts w:cs="FrankRuehl" w:hint="cs"/>
          <w:spacing w:val="10"/>
          <w:sz w:val="28"/>
          <w:szCs w:val="28"/>
          <w:rtl/>
        </w:rPr>
        <w:t xml:space="preserve">בעניין המשיבה, הנתבעת 2 בהליך העיקרי </w:t>
      </w:r>
      <w:r w:rsidRPr="00C810DF">
        <w:rPr>
          <w:rFonts w:ascii="FrankRuehl" w:hAnsi="FrankRuehl" w:cs="FrankRuehl" w:hint="cs"/>
          <w:spacing w:val="10"/>
          <w:sz w:val="28"/>
          <w:szCs w:val="28"/>
          <w:rtl/>
        </w:rPr>
        <w:t xml:space="preserve">(להלן - </w:t>
      </w:r>
      <w:r w:rsidRPr="00C810DF">
        <w:rPr>
          <w:rFonts w:ascii="FrankRuehl" w:hAnsi="FrankRuehl" w:cs="FrankRuehl" w:hint="cs"/>
          <w:b/>
          <w:bCs/>
          <w:spacing w:val="10"/>
          <w:sz w:val="28"/>
          <w:szCs w:val="28"/>
          <w:rtl/>
        </w:rPr>
        <w:t>"</w:t>
      </w:r>
      <w:r>
        <w:rPr>
          <w:rFonts w:ascii="FrankRuehl" w:hAnsi="FrankRuehl" w:cs="FrankRuehl" w:hint="cs"/>
          <w:b/>
          <w:bCs/>
          <w:spacing w:val="10"/>
          <w:sz w:val="28"/>
          <w:szCs w:val="28"/>
          <w:rtl/>
        </w:rPr>
        <w:t>המשיבה</w:t>
      </w:r>
      <w:r w:rsidRPr="00C810DF">
        <w:rPr>
          <w:rFonts w:ascii="FrankRuehl" w:hAnsi="FrankRuehl" w:cs="FrankRuehl" w:hint="cs"/>
          <w:b/>
          <w:bCs/>
          <w:spacing w:val="10"/>
          <w:sz w:val="28"/>
          <w:szCs w:val="28"/>
          <w:rtl/>
        </w:rPr>
        <w:t>"</w:t>
      </w:r>
      <w:r w:rsidRPr="00C810DF">
        <w:rPr>
          <w:rFonts w:ascii="FrankRuehl" w:hAnsi="FrankRuehl" w:cs="FrankRuehl" w:hint="cs"/>
          <w:spacing w:val="10"/>
          <w:sz w:val="28"/>
          <w:szCs w:val="28"/>
          <w:rtl/>
        </w:rPr>
        <w:t>)</w:t>
      </w:r>
      <w:r>
        <w:rPr>
          <w:rFonts w:cs="FrankRuehl" w:hint="cs"/>
          <w:spacing w:val="10"/>
          <w:sz w:val="28"/>
          <w:szCs w:val="28"/>
          <w:rtl/>
        </w:rPr>
        <w:t>, בהסכמת הצדדים במעמד הדיון. בהתאם לפסק הדין, חתמה המשיבה על ההסכם לביצוע פרויקט תמ"א 38 בבית המשותף. החברה היזמית צורפה תובעת נוספת בתביעה דנן. עוד בהתאם לפסק הדין, לנוכח שיח שהתקיים בין הצדדים לקדם סיום המחלוקות בפשרה ושאלות הבהרה שהפנו הצדדים למומחה, ניתנה בידי הצדדים ארכה למסור עמדתם האם עלה בידם לסיים המחלוקות בהסכמה.</w:t>
      </w:r>
    </w:p>
    <w:p w14:paraId="04A11F6D"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ביום 13.3.2024 ניתנה חוות דעתו המשלימה של המומחה במענה לשאלות הבהרה מטעם הצדדים. </w:t>
      </w:r>
    </w:p>
    <w:p w14:paraId="343F4615"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ביום 22.5.2024 ניתן </w:t>
      </w:r>
      <w:r w:rsidRPr="00C005A7">
        <w:rPr>
          <w:rFonts w:ascii="Miriam" w:hAnsi="Miriam" w:cs="Miriam"/>
          <w:spacing w:val="10"/>
          <w:sz w:val="24"/>
          <w:rtl/>
        </w:rPr>
        <w:t>פסק דין חלקי</w:t>
      </w:r>
      <w:r>
        <w:rPr>
          <w:rFonts w:ascii="Miriam" w:hAnsi="Miriam" w:cs="Miriam" w:hint="cs"/>
          <w:spacing w:val="10"/>
          <w:szCs w:val="22"/>
          <w:rtl/>
        </w:rPr>
        <w:t xml:space="preserve"> </w:t>
      </w:r>
      <w:r>
        <w:rPr>
          <w:rFonts w:cs="FrankRuehl" w:hint="cs"/>
          <w:spacing w:val="10"/>
          <w:sz w:val="28"/>
          <w:szCs w:val="28"/>
          <w:rtl/>
        </w:rPr>
        <w:t xml:space="preserve">נוסף בעניין המשיבה, בהסכמת הצדדים במעמד דיון נוסף שהתקיים לבירור התביעה. בהתאם לפסק הדין, הסמיכו הצדדים המפקחת על רישום מקרקעין לפסוק סכום הפיצוי שתשלם החברה היזמית </w:t>
      </w:r>
      <w:r>
        <w:rPr>
          <w:rFonts w:cs="FrankRuehl" w:hint="cs"/>
          <w:spacing w:val="10"/>
          <w:sz w:val="28"/>
          <w:szCs w:val="28"/>
          <w:rtl/>
        </w:rPr>
        <w:lastRenderedPageBreak/>
        <w:t xml:space="preserve">למשיבה, על דרך הפשרה בהתאם להוראת סעיף </w:t>
      </w:r>
      <w:r w:rsidRPr="00E7198A">
        <w:rPr>
          <w:rFonts w:ascii="FrankRuehl" w:hAnsi="FrankRuehl" w:cs="FrankRuehl" w:hint="cs"/>
          <w:spacing w:val="10"/>
          <w:sz w:val="28"/>
          <w:szCs w:val="28"/>
          <w:rtl/>
        </w:rPr>
        <w:t>79א לחוק בתי המשפט [נוסח משולב], תשמ"ד-1984</w:t>
      </w:r>
      <w:r>
        <w:rPr>
          <w:rFonts w:cs="FrankRuehl" w:hint="cs"/>
          <w:spacing w:val="10"/>
          <w:sz w:val="28"/>
          <w:szCs w:val="28"/>
          <w:rtl/>
        </w:rPr>
        <w:t>, ללא הנמקה, בטווח שבין 150,000 ש"ח לבין 200,000 ש"ח. זאת, לאחר השלמת טיעון בכתב. בתוך כך, נקבעו מועדים להגשת כתבי סיכומים מטעם הצדדים.</w:t>
      </w:r>
    </w:p>
    <w:p w14:paraId="7A7050EB"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המבקשים לא הגישו כתב סיכומים.</w:t>
      </w:r>
    </w:p>
    <w:p w14:paraId="41DD378A"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ביום 16.6.2024 הגישו המבקשים "בקשה מוסכמת דחופה לתיקון טעות יסודית ועדכון חוות דעת המומחה". כנטען בבקשה, בחוות דעת המומחה נפלה טעות חישוב, אשר הובילה לטעות בקביעת המומחה בחוות הדעת שווי הפגיעה בעקרון שוויון התמורות ביחס לדירות התמורה של המשיבה ושל הנתבעת 1. </w:t>
      </w:r>
    </w:p>
    <w:p w14:paraId="5EA87FD3" w14:textId="77777777" w:rsidR="003D3568" w:rsidRDefault="003D3568" w:rsidP="003D3568">
      <w:pPr>
        <w:pStyle w:val="a8"/>
        <w:suppressLineNumbers/>
        <w:spacing w:after="120" w:line="360" w:lineRule="auto"/>
        <w:contextualSpacing w:val="0"/>
        <w:jc w:val="both"/>
        <w:rPr>
          <w:rFonts w:cs="FrankRuehl"/>
          <w:spacing w:val="10"/>
          <w:sz w:val="28"/>
          <w:szCs w:val="28"/>
        </w:rPr>
      </w:pPr>
      <w:r>
        <w:rPr>
          <w:rFonts w:cs="FrankRuehl" w:hint="cs"/>
          <w:spacing w:val="10"/>
          <w:sz w:val="28"/>
          <w:szCs w:val="28"/>
          <w:rtl/>
        </w:rPr>
        <w:t>בהודעה מיום 19.6.2024, הבהירו המבקשים כי אין המדובר בבקשה מוסכמת.</w:t>
      </w:r>
    </w:p>
    <w:p w14:paraId="013CA191"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בהחלטה מיום 1.7.2024 הוריתי תגובת המשיבה והנתבעת 1 לבקשה. </w:t>
      </w:r>
    </w:p>
    <w:p w14:paraId="0E0ED7F9" w14:textId="77777777" w:rsidR="003D3568" w:rsidRPr="004D4057"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4D4057">
        <w:rPr>
          <w:rFonts w:cs="FrankRuehl" w:hint="cs"/>
          <w:spacing w:val="10"/>
          <w:sz w:val="28"/>
          <w:szCs w:val="28"/>
          <w:rtl/>
        </w:rPr>
        <w:t>ביום 3.7.2024 הגישה המשיבה כתב סיכומים בהתאם לפסק הדין החלקי. בד בבד, הגישה המשיבה תגובה לבקשה לתיקון טעות בחוות הדעת, בגדרה התנגדה לבקשה.</w:t>
      </w:r>
    </w:p>
    <w:p w14:paraId="6A8029F2"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בהחלטה מיום 24.7.2024 הוריתי תגובת המומחה לטענת המבקשים בדבר טעות חישוב שנפלה כנטען בחוות דעתו. זאת, משהמומחה הוזמן לחקירה על חוות הדעת במסגרת הבאת ראיות ושמיעתן במחלוקת שבין המבקשים לבין הנתבעת 1. </w:t>
      </w:r>
    </w:p>
    <w:p w14:paraId="51D620FC" w14:textId="77777777" w:rsidR="003D3568" w:rsidRDefault="003D3568" w:rsidP="003D3568">
      <w:pPr>
        <w:pStyle w:val="a8"/>
        <w:suppressLineNumbers/>
        <w:spacing w:after="120" w:line="360" w:lineRule="auto"/>
        <w:contextualSpacing w:val="0"/>
        <w:jc w:val="both"/>
        <w:rPr>
          <w:rFonts w:cs="FrankRuehl"/>
          <w:spacing w:val="10"/>
          <w:sz w:val="28"/>
          <w:szCs w:val="28"/>
          <w:rtl/>
        </w:rPr>
      </w:pPr>
      <w:r>
        <w:rPr>
          <w:rFonts w:cs="FrankRuehl" w:hint="cs"/>
          <w:spacing w:val="10"/>
          <w:sz w:val="28"/>
          <w:szCs w:val="28"/>
          <w:rtl/>
        </w:rPr>
        <w:t>בתוך כך, הוריתי כי אין בבקשה כדי לעכב, בין היתר, המועדים שנקבעו בפסק הדין החלקי מיום 22.5.2024, בגדרו הוסמכה המפקחת על רישום מקרקעין לפסוק במחלוקת הכספית על דרך הפשרה בטווח המוסכם, בהיותו צו שיפוטי מחייב.</w:t>
      </w:r>
    </w:p>
    <w:p w14:paraId="1EBC53A4"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בהחלטה מיום 22.8.2024 נעתרתי לבקשת המבקשים והוריתי, בהסכמת המשיבה, ארכה להגשת כתב סיכומים מטעם המבקשים בהתאם לפסק הדין החלקי. </w:t>
      </w:r>
    </w:p>
    <w:p w14:paraId="39E18A3A"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ביום 26.8.2024 ניתנה תגובת המומחה, לפיה נפלה בידו טעות בחישוב ההשוואה של תוספת השטח לדירות בבית המשותף לצורך בחינת הטענה בדבר פגיעה בעקרון </w:t>
      </w:r>
      <w:r>
        <w:rPr>
          <w:rFonts w:cs="FrankRuehl" w:hint="cs"/>
          <w:spacing w:val="10"/>
          <w:sz w:val="28"/>
          <w:szCs w:val="28"/>
          <w:rtl/>
        </w:rPr>
        <w:lastRenderedPageBreak/>
        <w:t xml:space="preserve">שוויון תמורות. תיקון טעות החישוב מעמידה שווי הפגיעה בדירת המשיבה ובדירת הנתבעת 1 על סך של 14,000 ש"ח, חלף 209,000 ש"ח בהתאם לחוות הדעת. </w:t>
      </w:r>
    </w:p>
    <w:p w14:paraId="1C80B022"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B33BBE">
        <w:rPr>
          <w:rFonts w:cs="FrankRuehl" w:hint="cs"/>
          <w:spacing w:val="10"/>
          <w:sz w:val="28"/>
          <w:szCs w:val="28"/>
          <w:rtl/>
        </w:rPr>
        <w:t>ביום 15.9.2024 עתרו המבקשים בבקשה דנן לעיון חוזר בהחלטה מיום 24.7.2024. כנטען, לאחר מתן ההחלטה ניתנה תגובת המומחה לפיה כאמור נפלה בידו טעות חישוב שעניינה היקף הפיצוי שזכאיות לו, לכאורה, המשיבה והנתבעת 1 בהתייחס לתמורות הניתנות בהתאם להסכם. עוד כנטען, פסק הדין החלקי הוא למעשה הסכמה דיונית, אשר ניתנה "על סמך מצב עובדתי שגוי ולקוי". הותרת "הסכמה דיונית" זו על כנה תגרום "לתוצאה אבסורדית ומעוותת בפסק הדין שיינתן במישור היחסים שבין הנתבעת 2 [המשיבה] לבין התובעים [המבקשים]". לפיכך, הוסיפו המבקשים ועתרו להתיר למבקשים לחזור בהם מההסכמה הדיונית לעניין "גידור סכום הפיצוי"</w:t>
      </w:r>
      <w:r>
        <w:rPr>
          <w:rFonts w:cs="FrankRuehl" w:hint="cs"/>
          <w:spacing w:val="10"/>
          <w:sz w:val="28"/>
          <w:szCs w:val="28"/>
          <w:rtl/>
        </w:rPr>
        <w:t>.</w:t>
      </w:r>
    </w:p>
    <w:p w14:paraId="0FF1D2C2"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8B025D">
        <w:rPr>
          <w:rFonts w:cs="FrankRuehl" w:hint="cs"/>
          <w:spacing w:val="10"/>
          <w:sz w:val="28"/>
          <w:szCs w:val="28"/>
          <w:rtl/>
        </w:rPr>
        <w:t>המשיבה התנגדה לבקשה.</w:t>
      </w:r>
      <w:r>
        <w:rPr>
          <w:rFonts w:cs="FrankRuehl" w:hint="cs"/>
          <w:spacing w:val="10"/>
          <w:sz w:val="28"/>
          <w:szCs w:val="28"/>
          <w:rtl/>
        </w:rPr>
        <w:t xml:space="preserve"> כנטען,</w:t>
      </w:r>
      <w:r w:rsidRPr="008B025D">
        <w:rPr>
          <w:rFonts w:cs="FrankRuehl" w:hint="cs"/>
          <w:spacing w:val="10"/>
          <w:sz w:val="28"/>
          <w:szCs w:val="28"/>
          <w:rtl/>
        </w:rPr>
        <w:t xml:space="preserve"> פסק הדין ניתן בעניין המשיבה לפני חודשים רבים, במסגרת הסכמות שקיבלו תוקף של פסק דין, לרבות לעניין הסמכת המפקחת על רישום מקרקעין להכריע גובה הפיצוי שתשלם החברה היזמית למשיבה. המשיבה קיימה מלוא חלקה בפסק הדין, חתמה על ההסכם תוך ויתור על טענותיה ו</w:t>
      </w:r>
      <w:r>
        <w:rPr>
          <w:rFonts w:cs="FrankRuehl" w:hint="cs"/>
          <w:spacing w:val="10"/>
          <w:sz w:val="28"/>
          <w:szCs w:val="28"/>
          <w:rtl/>
        </w:rPr>
        <w:t xml:space="preserve">מתן </w:t>
      </w:r>
      <w:r w:rsidRPr="008B025D">
        <w:rPr>
          <w:rFonts w:cs="FrankRuehl" w:hint="cs"/>
          <w:spacing w:val="10"/>
          <w:sz w:val="28"/>
          <w:szCs w:val="28"/>
          <w:rtl/>
        </w:rPr>
        <w:t xml:space="preserve">הסכמה כי הפיצוי יהא בתוך גבולות מוסכמים. סכום הפיצוי לפי סעיף 79א לחוק בתי המשפט אינו מותנה בחוות דעת המומחה, עת כבר במעמד הדיון שהתקיים טרם מתן פסק הדין טענו המבקשים לטעויות בחוות דעת המומחה. מכל מקום, אין בחוות דעת המומחה, לרבות </w:t>
      </w:r>
      <w:r>
        <w:rPr>
          <w:rFonts w:cs="FrankRuehl" w:hint="cs"/>
          <w:spacing w:val="10"/>
          <w:sz w:val="28"/>
          <w:szCs w:val="28"/>
          <w:rtl/>
        </w:rPr>
        <w:t>ב</w:t>
      </w:r>
      <w:r w:rsidRPr="008B025D">
        <w:rPr>
          <w:rFonts w:cs="FrankRuehl" w:hint="cs"/>
          <w:spacing w:val="10"/>
          <w:sz w:val="28"/>
          <w:szCs w:val="28"/>
          <w:rtl/>
        </w:rPr>
        <w:t xml:space="preserve">תגובתו בעניין טעות חישוב, כדי להוות סוף פסוק, בהינתן חקירתו על ידי הצדדים בהליך שנותר לבירור ולהכרעה ביחס לנתבעת 1. יתרה מזאת, אין בטעות החישוב, לכאורה, כדי לגרוע טענות המשיבה בדבר פגיעה בעקרון שוויון התמורות </w:t>
      </w:r>
      <w:r>
        <w:rPr>
          <w:rFonts w:cs="FrankRuehl" w:hint="cs"/>
          <w:spacing w:val="10"/>
          <w:sz w:val="28"/>
          <w:szCs w:val="28"/>
          <w:rtl/>
        </w:rPr>
        <w:t xml:space="preserve">מכוח קביעות אחרות בחוות דעת המומחה. אין המדובר בהסכמה דיונית-טכנית, כטענת המבקשים, אלא בהסכם פשרה שקיבל תוקף של פסק דין. טענות המבקשים עניינן טענות הנוגעות אך ורק לכדאיות העסקה. לנוכח האמור, מנועים המבקשים מלעתור לביטול פסק הדין החלקי בגדרי התביעה דנן. בהתאם להוראות הדין, על המבקשים להגיש תביעה חדשה ונפרדת, </w:t>
      </w:r>
      <w:r>
        <w:rPr>
          <w:rFonts w:cs="FrankRuehl" w:hint="cs"/>
          <w:spacing w:val="10"/>
          <w:sz w:val="28"/>
          <w:szCs w:val="28"/>
          <w:rtl/>
        </w:rPr>
        <w:lastRenderedPageBreak/>
        <w:t xml:space="preserve">אשר דומה כי אף דינה להידחות, לנוכח המשקל הרב הניתן לסופיות הליך בגדרו ניתן תוקף של פסק דין להסכם פשרה. </w:t>
      </w:r>
    </w:p>
    <w:p w14:paraId="4B2F1E1D"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בתשובה לתגובה, עמדו המבקשים על טענותיהם בבקשה, בהבהירם כי פסק הדין החלקי הנוסף הוא "החלטה אחרת" בגדרה הסכימו הצדדים להסמיך המפקחת לפסוק פיצוי כספי על דרך הפשרה בטווח סכומים מוסכם. בבחינת החלטה דיונית לעניין קביעת מנגנון פסיקת הפיצוי הכספי, אשר המבקשים רשאים לחזור בהם מהחלטה זו בשל "שינוי נסיבות מהותי", לנוכח תיקון חוות דעת המומחה. זאת, כנטען, משהמשיבה לא שינתה מצבה לרעה ולא הסתמכה על הסכמה זו באופן שחזרה ממנה תעלה כדי פגיעה במשיבה.   </w:t>
      </w:r>
    </w:p>
    <w:p w14:paraId="69A31CDE" w14:textId="77777777" w:rsidR="003D3568" w:rsidRPr="004713F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לאחר ששקלתי טענות הצדדים, באתי לכלל מסקנה כי דין הבקשה להידחות. </w:t>
      </w:r>
    </w:p>
    <w:p w14:paraId="319764CA"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בהסכמת הצדדים לבקשה דנן ניתנו פסקי דין חלקיים. ביום 31.12.2023 ניתן פסק דין חלקי, אשר בהתאם לו נתנה המשיבה הסכמתה לחתימה על ההסכם לביצוע פרויקט תמ"א 38 בבית המשותף, והחברה היזמית צורפה תובעת נוספת בתביעה. ביום 22.5.2024 ניתן פסק דין חלקי נוסף, חרף הכותרת 'החלטה', בגדרו הסכימו הצדדים לסיים המחלוקות מושא התביעה דנן על דרך של חיוב החברה היזמית בתשלום פיצוי כספי למשיבה. עוד בהתאם לפסק דין חלקי זה, הוסמכה המפקחת על רישום מקרקעין לפסוק גובה הפיצוי שתשלם החברה היזמית למשיבה בטווח שבין 150,000 ש"ח לבין 200,000 ש"ח, על דרך הפשרה, ללא הנמקה, לאחר הגשת כתבי סיכומים. </w:t>
      </w:r>
    </w:p>
    <w:p w14:paraId="180261B1"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 xml:space="preserve">פסק דין חלקי זה הוא בבחינת צו שיפוטי המחייב הצדדים מכוח עקרון סופיות הדיון. </w:t>
      </w:r>
    </w:p>
    <w:p w14:paraId="2E6A81A4"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324F6D">
        <w:rPr>
          <w:rFonts w:cs="FrankRuehl" w:hint="cs"/>
          <w:spacing w:val="10"/>
          <w:sz w:val="28"/>
          <w:szCs w:val="28"/>
          <w:rtl/>
        </w:rPr>
        <w:t xml:space="preserve">בניגוד לטענת המבקשים, הסכמת הצדדים לסיום המחלוקות על דרך של תשלום פיצוי כספי, חלף פיצוי בעין, באה </w:t>
      </w:r>
      <w:r>
        <w:rPr>
          <w:rFonts w:cs="FrankRuehl" w:hint="cs"/>
          <w:spacing w:val="10"/>
          <w:sz w:val="28"/>
          <w:szCs w:val="28"/>
          <w:rtl/>
        </w:rPr>
        <w:t xml:space="preserve">אך </w:t>
      </w:r>
      <w:r w:rsidRPr="00324F6D">
        <w:rPr>
          <w:rFonts w:cs="FrankRuehl" w:hint="cs"/>
          <w:spacing w:val="10"/>
          <w:sz w:val="28"/>
          <w:szCs w:val="28"/>
          <w:rtl/>
        </w:rPr>
        <w:t>בגדרי פסק הדין החלקי מיום 22.5.2024.</w:t>
      </w:r>
      <w:r>
        <w:rPr>
          <w:rFonts w:cs="FrankRuehl" w:hint="cs"/>
          <w:spacing w:val="10"/>
          <w:sz w:val="28"/>
          <w:szCs w:val="28"/>
          <w:rtl/>
        </w:rPr>
        <w:t xml:space="preserve"> בפסק הדין החלקי מיום 31.12.2023 </w:t>
      </w:r>
      <w:r w:rsidRPr="00324F6D">
        <w:rPr>
          <w:rFonts w:cs="FrankRuehl" w:hint="cs"/>
          <w:spacing w:val="10"/>
          <w:sz w:val="28"/>
          <w:szCs w:val="28"/>
          <w:rtl/>
        </w:rPr>
        <w:t xml:space="preserve">לא באה כל הכרעה לעניין הסעד שיינתן לזכות המשיבה בשל הפגיעה הנטענת בעקרון שוויון התמורות ביחס לדירת התמורה של </w:t>
      </w:r>
      <w:r w:rsidRPr="00324F6D">
        <w:rPr>
          <w:rFonts w:cs="FrankRuehl" w:hint="cs"/>
          <w:spacing w:val="10"/>
          <w:sz w:val="28"/>
          <w:szCs w:val="28"/>
          <w:rtl/>
        </w:rPr>
        <w:lastRenderedPageBreak/>
        <w:t xml:space="preserve">המשיבה על פי ההסכם. לאמור, בניגוד לטענת המבקשים, פסק הדין החלקי מיום 22.5.2024 אינו קובע </w:t>
      </w:r>
      <w:r>
        <w:rPr>
          <w:rFonts w:cs="FrankRuehl" w:hint="cs"/>
          <w:spacing w:val="10"/>
          <w:sz w:val="28"/>
          <w:szCs w:val="28"/>
          <w:rtl/>
        </w:rPr>
        <w:t>"</w:t>
      </w:r>
      <w:r w:rsidRPr="00324F6D">
        <w:rPr>
          <w:rFonts w:cs="FrankRuehl" w:hint="cs"/>
          <w:spacing w:val="10"/>
          <w:sz w:val="28"/>
          <w:szCs w:val="28"/>
          <w:rtl/>
        </w:rPr>
        <w:t>הסכמה דיונית</w:t>
      </w:r>
      <w:r>
        <w:rPr>
          <w:rFonts w:cs="FrankRuehl" w:hint="cs"/>
          <w:spacing w:val="10"/>
          <w:sz w:val="28"/>
          <w:szCs w:val="28"/>
          <w:rtl/>
        </w:rPr>
        <w:t>"</w:t>
      </w:r>
      <w:r w:rsidRPr="00324F6D">
        <w:rPr>
          <w:rFonts w:cs="FrankRuehl" w:hint="cs"/>
          <w:spacing w:val="10"/>
          <w:sz w:val="28"/>
          <w:szCs w:val="28"/>
          <w:rtl/>
        </w:rPr>
        <w:t xml:space="preserve"> באשר ל"מנגנון מוסכם לקביעת סכום פיצוי", אלא קובע </w:t>
      </w:r>
      <w:r w:rsidRPr="00CA6D08">
        <w:rPr>
          <w:rFonts w:ascii="Miriam" w:hAnsi="Miriam" w:cs="Miriam"/>
          <w:spacing w:val="10"/>
          <w:sz w:val="24"/>
          <w:rtl/>
        </w:rPr>
        <w:t>סיום המחלוקות שבין הצדדים</w:t>
      </w:r>
      <w:r w:rsidRPr="00324F6D">
        <w:rPr>
          <w:rFonts w:cs="FrankRuehl" w:hint="cs"/>
          <w:spacing w:val="10"/>
          <w:sz w:val="28"/>
          <w:szCs w:val="28"/>
          <w:rtl/>
        </w:rPr>
        <w:t xml:space="preserve"> על דרך של תשלום פיצוי כספי, </w:t>
      </w:r>
      <w:r>
        <w:rPr>
          <w:rFonts w:cs="FrankRuehl" w:hint="cs"/>
          <w:spacing w:val="10"/>
          <w:sz w:val="28"/>
          <w:szCs w:val="28"/>
          <w:rtl/>
        </w:rPr>
        <w:t>בטווח סכומים מוסכם, להכרעת המפקחת על רישום מקרקעין על דרך הפשרה.</w:t>
      </w:r>
    </w:p>
    <w:p w14:paraId="46FC4F36"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CA6D08">
        <w:rPr>
          <w:rFonts w:cs="FrankRuehl" w:hint="cs"/>
          <w:spacing w:val="10"/>
          <w:sz w:val="28"/>
          <w:szCs w:val="28"/>
          <w:rtl/>
        </w:rPr>
        <w:t xml:space="preserve">טענת המבקשים לביטול פסק הדין החלקי מיום 22.5.2024 מחמת טעות שהתבררה לאחר מתן פסק הדין, מקומה להתברר בגדרי תביעה עצמאית ונפרדת שרשאים המבקשים להגיש לביטול פסק הדין הנותן תוקף להסכם פשרה. בגדרי תביעה זו, תתבררנה טענות הצדדים ביחס לטעות הנטענת על ידי המבקשים בחוות דעת המומחה, ומתוך כך במתן הסכמתם להסכם הפשרה מושא פסק הדין החלקי. </w:t>
      </w:r>
    </w:p>
    <w:p w14:paraId="5877B444" w14:textId="77777777" w:rsidR="003D3568" w:rsidRPr="00CA6D0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CA6D08">
        <w:rPr>
          <w:rFonts w:cs="FrankRuehl" w:hint="cs"/>
          <w:spacing w:val="10"/>
          <w:sz w:val="28"/>
          <w:szCs w:val="28"/>
          <w:rtl/>
        </w:rPr>
        <w:t>למותר לציין בהקשר זה, כי לא נקבעו בפסק הדין החלקי מיום 22.5.2024 שיקולי הצדדים בנותנם ההסכמה לסיום המחלוקות כאמור בפסק הדין. בתוך כך, טענת המבקשים להסתמכות הצדדים אך על חוות דעת המומחה לא באה בפסק הדין, בהינתן שיקולים נוספים, סיכונים וסיכויים שהעריכו הצדדים הגלומים בסיום המחלוקות בהסכמה מושא פסק הדין.</w:t>
      </w:r>
    </w:p>
    <w:p w14:paraId="034B72E4"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C94B11">
        <w:rPr>
          <w:rFonts w:cs="FrankRuehl" w:hint="cs"/>
          <w:spacing w:val="10"/>
          <w:sz w:val="28"/>
          <w:szCs w:val="28"/>
          <w:rtl/>
        </w:rPr>
        <w:t xml:space="preserve">משדחיתי הבקשה, </w:t>
      </w:r>
      <w:r>
        <w:rPr>
          <w:rFonts w:cs="FrankRuehl" w:hint="cs"/>
          <w:spacing w:val="10"/>
          <w:sz w:val="28"/>
          <w:szCs w:val="28"/>
          <w:rtl/>
        </w:rPr>
        <w:t xml:space="preserve">הנני להורות חיוב המבקשים לשלם למשיבה הוצאות הבקשה בסך של 1,500 ש"ח. התשלום יבוצע בתוך 30 ימים מהיום. ככל שלא ישולם במועד, יישא החיוב הפרשי הצמדה וריבית כחוק ממועד מתן ההחלטה ועד למועד מלוא התשלום בפועל. </w:t>
      </w:r>
    </w:p>
    <w:p w14:paraId="008354AC" w14:textId="77777777" w:rsidR="003D3568" w:rsidRPr="00C94B11"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sidRPr="00C94B11">
        <w:rPr>
          <w:rFonts w:cs="FrankRuehl" w:hint="cs"/>
          <w:spacing w:val="10"/>
          <w:sz w:val="28"/>
          <w:szCs w:val="28"/>
          <w:rtl/>
        </w:rPr>
        <w:t>הנני ליתן בידי המבקשים ארכה להגשת כתב הסיכומים בהתאם לפסק הדין החלקי מיום 22.5.2024</w:t>
      </w:r>
      <w:r>
        <w:rPr>
          <w:rFonts w:cs="FrankRuehl" w:hint="cs"/>
          <w:spacing w:val="10"/>
          <w:sz w:val="28"/>
          <w:szCs w:val="28"/>
          <w:rtl/>
        </w:rPr>
        <w:t>,</w:t>
      </w:r>
      <w:r w:rsidRPr="00C94B11">
        <w:rPr>
          <w:rFonts w:cs="FrankRuehl" w:hint="cs"/>
          <w:spacing w:val="10"/>
          <w:sz w:val="28"/>
          <w:szCs w:val="28"/>
          <w:rtl/>
        </w:rPr>
        <w:t xml:space="preserve"> עד ליום 15.1.2025</w:t>
      </w:r>
      <w:r>
        <w:rPr>
          <w:rFonts w:cs="FrankRuehl" w:hint="cs"/>
          <w:spacing w:val="10"/>
          <w:sz w:val="28"/>
          <w:szCs w:val="28"/>
          <w:rtl/>
        </w:rPr>
        <w:t>.</w:t>
      </w:r>
    </w:p>
    <w:p w14:paraId="4953F4AC" w14:textId="77777777" w:rsidR="003D3568" w:rsidRDefault="003D3568" w:rsidP="003D3568">
      <w:pPr>
        <w:pStyle w:val="a8"/>
        <w:numPr>
          <w:ilvl w:val="0"/>
          <w:numId w:val="1"/>
        </w:numPr>
        <w:suppressLineNumbers/>
        <w:spacing w:after="120" w:line="360" w:lineRule="auto"/>
        <w:ind w:hanging="636"/>
        <w:contextualSpacing w:val="0"/>
        <w:jc w:val="both"/>
        <w:rPr>
          <w:rFonts w:cs="FrankRuehl"/>
          <w:spacing w:val="10"/>
          <w:sz w:val="28"/>
          <w:szCs w:val="28"/>
        </w:rPr>
      </w:pPr>
      <w:r>
        <w:rPr>
          <w:rFonts w:cs="FrankRuehl" w:hint="cs"/>
          <w:spacing w:val="10"/>
          <w:sz w:val="28"/>
          <w:szCs w:val="28"/>
          <w:rtl/>
        </w:rPr>
        <w:t>התיק יובא לעיוני למתן פסק דין משלים לא יאוחר מיום 16.1.2025.</w:t>
      </w:r>
    </w:p>
    <w:p w14:paraId="34DE3F13" w14:textId="77777777" w:rsidR="003D3568" w:rsidRPr="00521051" w:rsidRDefault="003D3568" w:rsidP="003D3568">
      <w:pPr>
        <w:suppressLineNumbers/>
        <w:spacing w:after="120" w:line="360" w:lineRule="auto"/>
        <w:contextualSpacing w:val="0"/>
        <w:jc w:val="both"/>
        <w:rPr>
          <w:rFonts w:cs="FrankRuehl"/>
          <w:spacing w:val="10"/>
          <w:sz w:val="28"/>
          <w:szCs w:val="28"/>
          <w:rtl/>
        </w:rPr>
      </w:pPr>
    </w:p>
    <w:p w14:paraId="4D268568" w14:textId="77777777" w:rsidR="003D3568" w:rsidRDefault="003D3568" w:rsidP="003D3568">
      <w:pPr>
        <w:suppressLineNumbers/>
        <w:spacing w:after="120"/>
        <w:contextualSpacing w:val="0"/>
        <w:jc w:val="both"/>
        <w:rPr>
          <w:rFonts w:cs="FrankRuehl"/>
          <w:spacing w:val="10"/>
          <w:sz w:val="28"/>
          <w:szCs w:val="28"/>
          <w:rtl/>
        </w:rPr>
      </w:pPr>
      <w:r>
        <w:rPr>
          <w:rFonts w:cs="FrankRuehl" w:hint="cs"/>
          <w:spacing w:val="10"/>
          <w:sz w:val="28"/>
          <w:szCs w:val="28"/>
          <w:rtl/>
        </w:rPr>
        <w:t>המזכירות תמציא ההחלטה לצדדים.</w:t>
      </w:r>
    </w:p>
    <w:p w14:paraId="59D8C7E3" w14:textId="73513FC2" w:rsidR="003D3568" w:rsidRPr="00EF0682" w:rsidRDefault="003D3568" w:rsidP="003D3568">
      <w:pPr>
        <w:suppressLineNumbers/>
        <w:spacing w:after="120"/>
        <w:contextualSpacing w:val="0"/>
        <w:jc w:val="both"/>
        <w:rPr>
          <w:rFonts w:cs="FrankRuehl"/>
          <w:spacing w:val="10"/>
          <w:sz w:val="28"/>
          <w:szCs w:val="28"/>
          <w:rtl/>
        </w:rPr>
      </w:pPr>
      <w:r w:rsidRPr="00EF0682">
        <w:rPr>
          <w:rFonts w:cs="FrankRuehl" w:hint="cs"/>
          <w:spacing w:val="10"/>
          <w:sz w:val="28"/>
          <w:szCs w:val="28"/>
          <w:rtl/>
        </w:rPr>
        <w:t>נית</w:t>
      </w:r>
      <w:r>
        <w:rPr>
          <w:rFonts w:cs="FrankRuehl" w:hint="cs"/>
          <w:spacing w:val="10"/>
          <w:sz w:val="28"/>
          <w:szCs w:val="28"/>
          <w:rtl/>
        </w:rPr>
        <w:t>נה</w:t>
      </w:r>
      <w:r w:rsidRPr="00EF0682">
        <w:rPr>
          <w:rFonts w:cs="FrankRuehl" w:hint="cs"/>
          <w:spacing w:val="10"/>
          <w:sz w:val="28"/>
          <w:szCs w:val="28"/>
          <w:rtl/>
        </w:rPr>
        <w:t xml:space="preserve"> היום, </w:t>
      </w:r>
      <w:r>
        <w:rPr>
          <w:rFonts w:cs="FrankRuehl" w:hint="cs"/>
          <w:spacing w:val="10"/>
          <w:sz w:val="28"/>
          <w:szCs w:val="28"/>
          <w:rtl/>
        </w:rPr>
        <w:t>ב' טבת תשפ"ה, 2 ינואר 2025, בהעדר</w:t>
      </w:r>
      <w:r w:rsidRPr="00EF0682">
        <w:rPr>
          <w:rFonts w:cs="FrankRuehl" w:hint="cs"/>
          <w:spacing w:val="10"/>
          <w:sz w:val="28"/>
          <w:szCs w:val="28"/>
          <w:rtl/>
        </w:rPr>
        <w:t xml:space="preserve"> הצדדים.</w:t>
      </w:r>
    </w:p>
    <w:p w14:paraId="6C7938E3" w14:textId="77777777" w:rsidR="003D3568" w:rsidRDefault="003D3568" w:rsidP="003D3568">
      <w:pPr>
        <w:suppressLineNumbers/>
        <w:rPr>
          <w:rFonts w:cs="FrankRuehl"/>
          <w:spacing w:val="10"/>
          <w:sz w:val="28"/>
          <w:szCs w:val="28"/>
          <w:rtl/>
        </w:rPr>
      </w:pPr>
    </w:p>
    <w:p w14:paraId="01884C1D" w14:textId="77777777" w:rsidR="003D3568" w:rsidRDefault="003D3568" w:rsidP="003D3568">
      <w:pPr>
        <w:suppressLineNumbers/>
        <w:rPr>
          <w:rFonts w:cs="FrankRuehl"/>
          <w:spacing w:val="10"/>
          <w:sz w:val="28"/>
          <w:szCs w:val="28"/>
          <w:rtl/>
        </w:rPr>
      </w:pPr>
    </w:p>
    <w:p w14:paraId="64DC9A86" w14:textId="77777777" w:rsidR="003D3568" w:rsidRDefault="003D3568" w:rsidP="003D3568">
      <w:pPr>
        <w:suppressLineNumbers/>
        <w:rPr>
          <w:rFonts w:cs="FrankRuehl"/>
          <w:spacing w:val="10"/>
          <w:sz w:val="28"/>
          <w:szCs w:val="28"/>
          <w:rtl/>
        </w:rPr>
      </w:pPr>
    </w:p>
    <w:p w14:paraId="7E20E40A" w14:textId="77777777" w:rsidR="003D3568" w:rsidRDefault="003D3568" w:rsidP="003D3568">
      <w:pPr>
        <w:suppressLineNumbers/>
        <w:rPr>
          <w:rFonts w:cs="FrankRuehl"/>
          <w:spacing w:val="10"/>
          <w:sz w:val="28"/>
          <w:szCs w:val="28"/>
          <w:rtl/>
        </w:rPr>
      </w:pPr>
    </w:p>
    <w:p w14:paraId="4ED94560" w14:textId="77777777" w:rsidR="003D3568" w:rsidRPr="00EF0682" w:rsidRDefault="003D3568" w:rsidP="003D3568">
      <w:pPr>
        <w:suppressLineNumbers/>
        <w:rPr>
          <w:rFonts w:cs="FrankRuehl"/>
          <w:spacing w:val="10"/>
          <w:sz w:val="28"/>
          <w:szCs w:val="28"/>
          <w:rtl/>
        </w:rPr>
      </w:pPr>
    </w:p>
    <w:tbl>
      <w:tblPr>
        <w:tblStyle w:val="a3"/>
        <w:bidiVisual/>
        <w:tblW w:w="8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00" w:firstRow="0" w:lastRow="0" w:firstColumn="0" w:lastColumn="0" w:noHBand="0" w:noVBand="1"/>
        <w:tblCaption w:val="DHR00"/>
        <w:tblDescription w:val="Layout Table"/>
      </w:tblPr>
      <w:tblGrid>
        <w:gridCol w:w="2840"/>
        <w:gridCol w:w="2226"/>
        <w:gridCol w:w="3686"/>
      </w:tblGrid>
      <w:tr w:rsidR="003D3568" w:rsidRPr="00EF0682" w14:paraId="6D932AFB" w14:textId="77777777" w:rsidTr="00EE1544">
        <w:trPr>
          <w:cantSplit/>
        </w:trPr>
        <w:tc>
          <w:tcPr>
            <w:tcW w:w="2840" w:type="dxa"/>
          </w:tcPr>
          <w:p w14:paraId="00474387" w14:textId="77777777" w:rsidR="003D3568" w:rsidRPr="00EF0682" w:rsidRDefault="003D3568" w:rsidP="00D076E3">
            <w:pPr>
              <w:suppressLineNumbers/>
              <w:rPr>
                <w:rFonts w:eastAsia="Calibri" w:cs="FrankRuehl"/>
                <w:spacing w:val="10"/>
                <w:sz w:val="28"/>
                <w:szCs w:val="28"/>
                <w:rtl/>
              </w:rPr>
            </w:pPr>
          </w:p>
        </w:tc>
        <w:tc>
          <w:tcPr>
            <w:tcW w:w="2226" w:type="dxa"/>
          </w:tcPr>
          <w:p w14:paraId="48F648BE" w14:textId="77777777" w:rsidR="003D3568" w:rsidRPr="00EF0682" w:rsidRDefault="003D3568" w:rsidP="00D076E3">
            <w:pPr>
              <w:suppressLineNumbers/>
              <w:rPr>
                <w:rFonts w:eastAsia="Calibri" w:cs="FrankRuehl"/>
                <w:spacing w:val="10"/>
                <w:sz w:val="28"/>
                <w:szCs w:val="28"/>
                <w:rtl/>
              </w:rPr>
            </w:pPr>
          </w:p>
        </w:tc>
        <w:tc>
          <w:tcPr>
            <w:tcW w:w="3686" w:type="dxa"/>
            <w:tcBorders>
              <w:bottom w:val="single" w:sz="4" w:space="0" w:color="auto"/>
            </w:tcBorders>
          </w:tcPr>
          <w:p w14:paraId="2B516B6E" w14:textId="77777777" w:rsidR="003D3568" w:rsidRPr="00EF0682" w:rsidRDefault="003D3568" w:rsidP="00D076E3">
            <w:pPr>
              <w:suppressLineNumbers/>
              <w:rPr>
                <w:rFonts w:eastAsia="Calibri" w:cs="FrankRuehl"/>
                <w:spacing w:val="10"/>
                <w:sz w:val="28"/>
                <w:szCs w:val="28"/>
                <w:rtl/>
              </w:rPr>
            </w:pPr>
          </w:p>
        </w:tc>
      </w:tr>
      <w:tr w:rsidR="003D3568" w:rsidRPr="00EF0682" w14:paraId="4FA02345" w14:textId="77777777" w:rsidTr="00EE1544">
        <w:trPr>
          <w:cantSplit/>
        </w:trPr>
        <w:tc>
          <w:tcPr>
            <w:tcW w:w="2840" w:type="dxa"/>
          </w:tcPr>
          <w:p w14:paraId="41E4DF16" w14:textId="77777777" w:rsidR="003D3568" w:rsidRPr="00EF0682" w:rsidRDefault="003D3568" w:rsidP="00D076E3">
            <w:pPr>
              <w:suppressLineNumbers/>
              <w:rPr>
                <w:rFonts w:eastAsia="Calibri" w:cs="FrankRuehl"/>
                <w:spacing w:val="10"/>
                <w:sz w:val="28"/>
                <w:szCs w:val="28"/>
                <w:rtl/>
              </w:rPr>
            </w:pPr>
          </w:p>
        </w:tc>
        <w:tc>
          <w:tcPr>
            <w:tcW w:w="2226" w:type="dxa"/>
          </w:tcPr>
          <w:p w14:paraId="044F2B3C" w14:textId="77777777" w:rsidR="003D3568" w:rsidRPr="00EF0682" w:rsidRDefault="003D3568" w:rsidP="00D076E3">
            <w:pPr>
              <w:suppressLineNumbers/>
              <w:rPr>
                <w:rFonts w:eastAsia="Calibri" w:cs="FrankRuehl"/>
                <w:spacing w:val="10"/>
                <w:sz w:val="28"/>
                <w:szCs w:val="28"/>
                <w:rtl/>
              </w:rPr>
            </w:pPr>
          </w:p>
        </w:tc>
        <w:tc>
          <w:tcPr>
            <w:tcW w:w="3686" w:type="dxa"/>
            <w:tcBorders>
              <w:top w:val="single" w:sz="4" w:space="0" w:color="auto"/>
            </w:tcBorders>
          </w:tcPr>
          <w:p w14:paraId="6C3A40E9" w14:textId="77777777" w:rsidR="003D3568" w:rsidRPr="00EF0682" w:rsidRDefault="003D3568" w:rsidP="00D076E3">
            <w:pPr>
              <w:suppressLineNumbers/>
              <w:jc w:val="center"/>
              <w:rPr>
                <w:rFonts w:eastAsia="Calibri" w:cs="FrankRuehl"/>
                <w:spacing w:val="10"/>
                <w:sz w:val="28"/>
                <w:szCs w:val="28"/>
                <w:rtl/>
              </w:rPr>
            </w:pPr>
            <w:r w:rsidRPr="00EF0682">
              <w:rPr>
                <w:rFonts w:eastAsia="Calibri" w:cs="FrankRuehl" w:hint="cs"/>
                <w:spacing w:val="10"/>
                <w:sz w:val="28"/>
                <w:szCs w:val="28"/>
                <w:rtl/>
              </w:rPr>
              <w:t xml:space="preserve">אושרת </w:t>
            </w:r>
            <w:proofErr w:type="spellStart"/>
            <w:r w:rsidRPr="00EF0682">
              <w:rPr>
                <w:rFonts w:eastAsia="Calibri" w:cs="FrankRuehl" w:hint="cs"/>
                <w:spacing w:val="10"/>
                <w:sz w:val="28"/>
                <w:szCs w:val="28"/>
                <w:rtl/>
              </w:rPr>
              <w:t>ארפי</w:t>
            </w:r>
            <w:proofErr w:type="spellEnd"/>
            <w:r w:rsidRPr="00EF0682">
              <w:rPr>
                <w:rFonts w:eastAsia="Calibri" w:cs="FrankRuehl" w:hint="cs"/>
                <w:spacing w:val="10"/>
                <w:sz w:val="28"/>
                <w:szCs w:val="28"/>
                <w:rtl/>
              </w:rPr>
              <w:t xml:space="preserve"> מוראי</w:t>
            </w:r>
          </w:p>
          <w:p w14:paraId="11D9199E" w14:textId="77777777" w:rsidR="003D3568" w:rsidRPr="00EF0682" w:rsidRDefault="003D3568" w:rsidP="00D076E3">
            <w:pPr>
              <w:suppressLineNumbers/>
              <w:jc w:val="center"/>
              <w:rPr>
                <w:rFonts w:eastAsia="Calibri" w:cs="FrankRuehl"/>
                <w:spacing w:val="10"/>
                <w:sz w:val="28"/>
                <w:szCs w:val="28"/>
                <w:rtl/>
              </w:rPr>
            </w:pPr>
            <w:r w:rsidRPr="00EF0682">
              <w:rPr>
                <w:rFonts w:eastAsia="Calibri" w:cs="FrankRuehl" w:hint="cs"/>
                <w:spacing w:val="10"/>
                <w:sz w:val="28"/>
                <w:szCs w:val="28"/>
                <w:rtl/>
              </w:rPr>
              <w:t>מפקחת בכירה על רישום מקרקעין</w:t>
            </w:r>
          </w:p>
          <w:p w14:paraId="50B87653" w14:textId="77777777" w:rsidR="003D3568" w:rsidRPr="00EF0682" w:rsidRDefault="003D3568" w:rsidP="00D076E3">
            <w:pPr>
              <w:suppressLineNumbers/>
              <w:jc w:val="center"/>
              <w:rPr>
                <w:rFonts w:eastAsia="Calibri" w:cs="FrankRuehl"/>
                <w:spacing w:val="10"/>
                <w:sz w:val="28"/>
                <w:szCs w:val="28"/>
                <w:rtl/>
              </w:rPr>
            </w:pPr>
            <w:r w:rsidRPr="00EF0682">
              <w:rPr>
                <w:rFonts w:eastAsia="Calibri" w:cs="FrankRuehl" w:hint="cs"/>
                <w:spacing w:val="10"/>
                <w:sz w:val="28"/>
                <w:szCs w:val="28"/>
                <w:rtl/>
              </w:rPr>
              <w:t>תל אביב יפו</w:t>
            </w:r>
          </w:p>
        </w:tc>
      </w:tr>
    </w:tbl>
    <w:p w14:paraId="4D75F518" w14:textId="77777777" w:rsidR="003D3568" w:rsidRPr="00904E10" w:rsidRDefault="003D3568" w:rsidP="003D3568">
      <w:pPr>
        <w:contextualSpacing w:val="0"/>
        <w:rPr>
          <w:rFonts w:ascii="FrankRuehl" w:hAnsi="FrankRuehl" w:cs="FrankRuehl"/>
          <w:sz w:val="2"/>
          <w:szCs w:val="2"/>
          <w:rtl/>
        </w:rPr>
      </w:pPr>
    </w:p>
    <w:p w14:paraId="41486A31" w14:textId="77777777" w:rsidR="00C537DE" w:rsidRDefault="00C537DE"/>
    <w:sectPr w:rsidR="00C537DE" w:rsidSect="002E7A66">
      <w:headerReference w:type="default" r:id="rId7"/>
      <w:footerReference w:type="default" r:id="rId8"/>
      <w:pgSz w:w="11906" w:h="16838"/>
      <w:pgMar w:top="851" w:right="1701" w:bottom="851" w:left="1701"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4617D" w14:textId="77777777" w:rsidR="007B5A34" w:rsidRDefault="006405D0">
      <w:r>
        <w:separator/>
      </w:r>
    </w:p>
  </w:endnote>
  <w:endnote w:type="continuationSeparator" w:id="0">
    <w:p w14:paraId="5ED42053" w14:textId="77777777" w:rsidR="007B5A34" w:rsidRDefault="00640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FrankRuehl" w:hAnsi="FrankRuehl" w:cs="FrankRuehl"/>
        <w:sz w:val="28"/>
        <w:szCs w:val="28"/>
        <w:rtl/>
      </w:rPr>
      <w:id w:val="671306542"/>
      <w:docPartObj>
        <w:docPartGallery w:val="Page Numbers (Bottom of Page)"/>
        <w:docPartUnique/>
      </w:docPartObj>
    </w:sdtPr>
    <w:sdtEndPr>
      <w:rPr>
        <w:b/>
        <w:bCs/>
        <w:noProof/>
      </w:rPr>
    </w:sdtEndPr>
    <w:sdtContent>
      <w:p w14:paraId="2BE13D55" w14:textId="77777777" w:rsidR="002E7A66" w:rsidRDefault="00EE1544" w:rsidP="002E7A66">
        <w:pPr>
          <w:pStyle w:val="a6"/>
          <w:jc w:val="center"/>
          <w:rPr>
            <w:rFonts w:ascii="FrankRuehl" w:hAnsi="FrankRuehl" w:cs="FrankRuehl"/>
            <w:sz w:val="28"/>
            <w:szCs w:val="28"/>
            <w:rtl/>
          </w:rPr>
        </w:pPr>
      </w:p>
      <w:p w14:paraId="7AFAA710" w14:textId="77777777" w:rsidR="00257FA6" w:rsidRPr="002E7A66" w:rsidRDefault="003D3568" w:rsidP="002E7A66">
        <w:pPr>
          <w:pStyle w:val="a6"/>
          <w:jc w:val="center"/>
          <w:rPr>
            <w:rFonts w:ascii="FrankRuehl" w:hAnsi="FrankRuehl" w:cs="FrankRuehl"/>
            <w:b/>
            <w:bCs/>
            <w:sz w:val="28"/>
            <w:szCs w:val="28"/>
          </w:rPr>
        </w:pPr>
        <w:r w:rsidRPr="002E7A66">
          <w:rPr>
            <w:rFonts w:ascii="FrankRuehl" w:hAnsi="FrankRuehl" w:cs="FrankRuehl"/>
            <w:sz w:val="28"/>
            <w:szCs w:val="28"/>
          </w:rPr>
          <w:fldChar w:fldCharType="begin"/>
        </w:r>
        <w:r w:rsidRPr="002E7A66">
          <w:rPr>
            <w:rFonts w:ascii="FrankRuehl" w:hAnsi="FrankRuehl" w:cs="FrankRuehl"/>
            <w:sz w:val="28"/>
            <w:szCs w:val="28"/>
          </w:rPr>
          <w:instrText xml:space="preserve"> PAGE   \* MERGEFORMAT </w:instrText>
        </w:r>
        <w:r w:rsidRPr="002E7A66">
          <w:rPr>
            <w:rFonts w:ascii="FrankRuehl" w:hAnsi="FrankRuehl" w:cs="FrankRuehl"/>
            <w:sz w:val="28"/>
            <w:szCs w:val="28"/>
          </w:rPr>
          <w:fldChar w:fldCharType="separate"/>
        </w:r>
        <w:r w:rsidRPr="002E7A66">
          <w:rPr>
            <w:rFonts w:ascii="FrankRuehl" w:hAnsi="FrankRuehl" w:cs="FrankRuehl"/>
            <w:noProof/>
            <w:sz w:val="28"/>
            <w:szCs w:val="28"/>
            <w:rtl/>
          </w:rPr>
          <w:t>1</w:t>
        </w:r>
        <w:r w:rsidRPr="002E7A66">
          <w:rPr>
            <w:rFonts w:ascii="FrankRuehl" w:hAnsi="FrankRuehl" w:cs="FrankRuehl"/>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4A2B8" w14:textId="77777777" w:rsidR="007B5A34" w:rsidRDefault="006405D0">
      <w:r>
        <w:separator/>
      </w:r>
    </w:p>
  </w:footnote>
  <w:footnote w:type="continuationSeparator" w:id="0">
    <w:p w14:paraId="3DB9851D" w14:textId="77777777" w:rsidR="007B5A34" w:rsidRDefault="00640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E7FA" w14:textId="77777777" w:rsidR="003A2D09" w:rsidRPr="002E7A66" w:rsidRDefault="003D3568" w:rsidP="002E7A66">
    <w:pPr>
      <w:pStyle w:val="a4"/>
      <w:jc w:val="center"/>
      <w:rPr>
        <w:rFonts w:ascii="FrankRuehl" w:hAnsi="FrankRuehl" w:cs="FrankRuehl"/>
        <w:b/>
        <w:bCs/>
        <w:spacing w:val="10"/>
        <w:szCs w:val="28"/>
        <w:rtl/>
      </w:rPr>
    </w:pPr>
    <w:r w:rsidRPr="002E7A66">
      <w:rPr>
        <w:rFonts w:ascii="FrankRuehl" w:hAnsi="FrankRuehl" w:cs="FrankRuehl"/>
        <w:b/>
        <w:bCs/>
        <w:noProof/>
        <w:spacing w:val="10"/>
        <w:szCs w:val="28"/>
        <w:rtl/>
      </w:rPr>
      <w:drawing>
        <wp:inline distT="0" distB="0" distL="0" distR="0" wp14:anchorId="0A72876F" wp14:editId="66C25D5A">
          <wp:extent cx="558165" cy="570230"/>
          <wp:effectExtent l="19050" t="0" r="0" b="0"/>
          <wp:docPr id="1"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48563BF5" w14:textId="77777777" w:rsidR="003A2D09" w:rsidRPr="002E7A66" w:rsidRDefault="003D3568" w:rsidP="002E7A66">
    <w:pPr>
      <w:pStyle w:val="a4"/>
      <w:jc w:val="center"/>
      <w:rPr>
        <w:rFonts w:ascii="FrankRuehl" w:hAnsi="FrankRuehl" w:cs="FrankRuehl"/>
        <w:b/>
        <w:bCs/>
        <w:spacing w:val="10"/>
        <w:szCs w:val="28"/>
        <w:rtl/>
      </w:rPr>
    </w:pPr>
    <w:r w:rsidRPr="002E7A66">
      <w:rPr>
        <w:rFonts w:ascii="FrankRuehl" w:hAnsi="FrankRuehl" w:cs="FrankRuehl"/>
        <w:b/>
        <w:bCs/>
        <w:spacing w:val="10"/>
        <w:szCs w:val="28"/>
        <w:rtl/>
      </w:rPr>
      <w:t>מדינת ישראל</w:t>
    </w:r>
  </w:p>
  <w:p w14:paraId="2F47138D" w14:textId="77777777" w:rsidR="003A2D09" w:rsidRPr="002E7A66" w:rsidRDefault="003D3568" w:rsidP="002E7A66">
    <w:pPr>
      <w:pStyle w:val="a4"/>
      <w:jc w:val="center"/>
      <w:rPr>
        <w:rFonts w:ascii="FrankRuehl" w:hAnsi="FrankRuehl" w:cs="FrankRuehl"/>
        <w:b/>
        <w:bCs/>
        <w:spacing w:val="10"/>
        <w:szCs w:val="28"/>
        <w:rtl/>
      </w:rPr>
    </w:pPr>
    <w:r w:rsidRPr="002E7A66">
      <w:rPr>
        <w:rFonts w:ascii="FrankRuehl" w:hAnsi="FrankRuehl" w:cs="FrankRuehl"/>
        <w:b/>
        <w:bCs/>
        <w:spacing w:val="10"/>
        <w:szCs w:val="28"/>
        <w:rtl/>
      </w:rPr>
      <w:t>משרד המשפטים</w:t>
    </w:r>
  </w:p>
  <w:p w14:paraId="54C5D120" w14:textId="77777777" w:rsidR="003A2D09" w:rsidRDefault="003D3568" w:rsidP="002E7A66">
    <w:pPr>
      <w:pStyle w:val="a4"/>
      <w:jc w:val="center"/>
      <w:rPr>
        <w:rFonts w:ascii="FrankRuehl" w:hAnsi="FrankRuehl" w:cs="FrankRuehl"/>
        <w:b/>
        <w:bCs/>
        <w:spacing w:val="10"/>
        <w:szCs w:val="28"/>
        <w:rtl/>
      </w:rPr>
    </w:pPr>
    <w:r w:rsidRPr="002E7A66">
      <w:rPr>
        <w:rFonts w:ascii="FrankRuehl" w:hAnsi="FrankRuehl" w:cs="FrankRuehl"/>
        <w:b/>
        <w:bCs/>
        <w:noProof/>
        <w:spacing w:val="10"/>
        <w:sz w:val="28"/>
        <w:szCs w:val="28"/>
        <w:rtl/>
      </w:rPr>
      <w:t>תל אביב - יפו</w:t>
    </w:r>
  </w:p>
  <w:p w14:paraId="43F4AEB6" w14:textId="77777777" w:rsidR="00C94B11" w:rsidRPr="002E7A66" w:rsidRDefault="00EE1544" w:rsidP="002E7A66">
    <w:pPr>
      <w:pStyle w:val="a4"/>
      <w:jc w:val="center"/>
      <w:rPr>
        <w:rFonts w:ascii="FrankRuehl" w:hAnsi="FrankRuehl" w:cs="FrankRuehl"/>
        <w:b/>
        <w:bCs/>
        <w:spacing w:val="10"/>
        <w:szCs w:val="28"/>
        <w:rtl/>
      </w:rPr>
    </w:pP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3"/>
      <w:gridCol w:w="3401"/>
      <w:gridCol w:w="4537"/>
    </w:tblGrid>
    <w:tr w:rsidR="00D3650D" w:rsidRPr="002E7A66" w14:paraId="3318002C" w14:textId="77777777" w:rsidTr="002E7A66">
      <w:tc>
        <w:tcPr>
          <w:tcW w:w="3403" w:type="dxa"/>
        </w:tcPr>
        <w:p w14:paraId="1CDF6026" w14:textId="77777777" w:rsidR="00D3650D" w:rsidRPr="002E7A66" w:rsidRDefault="003D3568" w:rsidP="002E7A66">
          <w:pPr>
            <w:pStyle w:val="a4"/>
            <w:jc w:val="center"/>
            <w:rPr>
              <w:rFonts w:ascii="FrankRuehl" w:hAnsi="FrankRuehl" w:cs="FrankRuehl"/>
              <w:b/>
              <w:bCs/>
              <w:spacing w:val="10"/>
              <w:szCs w:val="28"/>
              <w:rtl/>
            </w:rPr>
          </w:pPr>
          <w:r w:rsidRPr="002E7A66">
            <w:rPr>
              <w:rFonts w:ascii="FrankRuehl" w:hAnsi="FrankRuehl" w:cs="FrankRuehl"/>
              <w:b/>
              <w:bCs/>
              <w:spacing w:val="10"/>
              <w:szCs w:val="28"/>
              <w:rtl/>
            </w:rPr>
            <w:t>מפקח על רישום מקרקעין</w:t>
          </w:r>
        </w:p>
        <w:p w14:paraId="40785816" w14:textId="77777777" w:rsidR="00982571" w:rsidRPr="002E7A66" w:rsidRDefault="003D3568" w:rsidP="002E7A66">
          <w:pPr>
            <w:pStyle w:val="a4"/>
            <w:jc w:val="center"/>
            <w:rPr>
              <w:rFonts w:ascii="FrankRuehl" w:hAnsi="FrankRuehl" w:cs="FrankRuehl"/>
              <w:b/>
              <w:bCs/>
              <w:spacing w:val="10"/>
              <w:sz w:val="28"/>
              <w:szCs w:val="28"/>
              <w:rtl/>
            </w:rPr>
          </w:pPr>
          <w:r w:rsidRPr="002E7A66">
            <w:rPr>
              <w:rFonts w:ascii="FrankRuehl" w:hAnsi="FrankRuehl" w:cs="FrankRuehl"/>
              <w:b/>
              <w:bCs/>
              <w:spacing w:val="10"/>
              <w:sz w:val="28"/>
              <w:szCs w:val="28"/>
              <w:rtl/>
            </w:rPr>
            <w:t>בסמכות שופט בית משפט שלום</w:t>
          </w:r>
        </w:p>
        <w:p w14:paraId="63D82C5E" w14:textId="77777777" w:rsidR="00982571" w:rsidRPr="002E7A66" w:rsidRDefault="003D3568" w:rsidP="002E7A66">
          <w:pPr>
            <w:pStyle w:val="a4"/>
            <w:jc w:val="center"/>
            <w:rPr>
              <w:rFonts w:ascii="FrankRuehl" w:hAnsi="FrankRuehl" w:cs="FrankRuehl"/>
              <w:b/>
              <w:bCs/>
              <w:spacing w:val="10"/>
              <w:szCs w:val="28"/>
              <w:rtl/>
            </w:rPr>
          </w:pPr>
          <w:r w:rsidRPr="002E7A66">
            <w:rPr>
              <w:rFonts w:ascii="FrankRuehl" w:hAnsi="FrankRuehl" w:cs="FrankRuehl"/>
              <w:b/>
              <w:bCs/>
              <w:spacing w:val="10"/>
              <w:sz w:val="28"/>
              <w:szCs w:val="28"/>
              <w:rtl/>
            </w:rPr>
            <w:t>לפי סעיף 74 לחוק המקרקעין</w:t>
          </w:r>
        </w:p>
      </w:tc>
      <w:tc>
        <w:tcPr>
          <w:tcW w:w="3401" w:type="dxa"/>
        </w:tcPr>
        <w:p w14:paraId="772AECF5" w14:textId="77777777" w:rsidR="00D3650D" w:rsidRPr="002E7A66" w:rsidRDefault="00EE1544" w:rsidP="002E7A66">
          <w:pPr>
            <w:pStyle w:val="a4"/>
            <w:jc w:val="center"/>
            <w:rPr>
              <w:rFonts w:ascii="FrankRuehl" w:hAnsi="FrankRuehl" w:cs="FrankRuehl"/>
              <w:b/>
              <w:bCs/>
              <w:spacing w:val="10"/>
              <w:szCs w:val="28"/>
              <w:rtl/>
            </w:rPr>
          </w:pPr>
        </w:p>
      </w:tc>
      <w:tc>
        <w:tcPr>
          <w:tcW w:w="4537" w:type="dxa"/>
        </w:tcPr>
        <w:p w14:paraId="44D178E7" w14:textId="77777777" w:rsidR="00D3650D" w:rsidRPr="002E7A66" w:rsidRDefault="003D3568" w:rsidP="002E7A66">
          <w:pPr>
            <w:pStyle w:val="a4"/>
            <w:jc w:val="center"/>
            <w:rPr>
              <w:rFonts w:ascii="FrankRuehl" w:hAnsi="FrankRuehl" w:cs="FrankRuehl"/>
              <w:b/>
              <w:bCs/>
              <w:spacing w:val="10"/>
              <w:szCs w:val="28"/>
              <w:rtl/>
            </w:rPr>
          </w:pPr>
          <w:r w:rsidRPr="002E7A66">
            <w:rPr>
              <w:rFonts w:ascii="FrankRuehl" w:hAnsi="FrankRuehl" w:cs="FrankRuehl"/>
              <w:b/>
              <w:bCs/>
              <w:noProof/>
              <w:spacing w:val="10"/>
              <w:sz w:val="28"/>
              <w:szCs w:val="28"/>
              <w:rtl/>
            </w:rPr>
            <w:t>מס' תיק: 5/1202/2022</w:t>
          </w:r>
          <w:r w:rsidRPr="002E7A66">
            <w:rPr>
              <w:rFonts w:ascii="FrankRuehl" w:hAnsi="FrankRuehl" w:cs="FrankRuehl"/>
              <w:spacing w:val="10"/>
              <w:sz w:val="24"/>
              <w:szCs w:val="28"/>
            </w:rPr>
            <w:br/>
          </w:r>
          <w:r w:rsidRPr="002E7A66">
            <w:rPr>
              <w:rFonts w:ascii="FrankRuehl" w:hAnsi="FrankRuehl" w:cs="FrankRuehl"/>
              <w:b/>
              <w:bCs/>
              <w:noProof/>
              <w:spacing w:val="10"/>
              <w:sz w:val="28"/>
              <w:szCs w:val="28"/>
              <w:rtl/>
            </w:rPr>
            <w:t>מס' בקשה: 5/1261/2024</w:t>
          </w:r>
        </w:p>
      </w:tc>
    </w:tr>
  </w:tbl>
  <w:p w14:paraId="3ACB720C" w14:textId="77777777" w:rsidR="003A2D09" w:rsidRDefault="00EE1544" w:rsidP="002E7A66">
    <w:pPr>
      <w:pStyle w:val="a4"/>
      <w:jc w:val="center"/>
      <w:rPr>
        <w:rFonts w:ascii="FrankRuehl" w:hAnsi="FrankRuehl" w:cs="FrankRuehl"/>
        <w:b/>
        <w:bCs/>
        <w:spacing w:val="10"/>
        <w:szCs w:val="28"/>
        <w:rtl/>
      </w:rPr>
    </w:pPr>
  </w:p>
  <w:p w14:paraId="29E31CF0" w14:textId="77777777" w:rsidR="002E7A66" w:rsidRPr="002E7A66" w:rsidRDefault="00EE1544" w:rsidP="002E7A66">
    <w:pPr>
      <w:pStyle w:val="a4"/>
      <w:jc w:val="center"/>
      <w:rPr>
        <w:rFonts w:ascii="FrankRuehl" w:hAnsi="FrankRuehl" w:cs="FrankRuehl"/>
        <w:b/>
        <w:bCs/>
        <w:spacing w:val="10"/>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C83D23"/>
    <w:multiLevelType w:val="hybridMultilevel"/>
    <w:tmpl w:val="1A685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able" w:val="3"/>
    <w:docVar w:name="P1" w:val="Document MetaData-28/08/2025 18:34:40"/>
    <w:docVar w:name="P2" w:val="Document Headings-28/08/2025 18:34:51"/>
    <w:docVar w:name="P3" w:val="Document Tables-28/08/2025 18:35:16"/>
    <w:docVar w:name="ParaNumber" w:val="85"/>
  </w:docVars>
  <w:rsids>
    <w:rsidRoot w:val="003D3568"/>
    <w:rsid w:val="0008652A"/>
    <w:rsid w:val="000E3CCE"/>
    <w:rsid w:val="000F30A9"/>
    <w:rsid w:val="001519B4"/>
    <w:rsid w:val="00175B9F"/>
    <w:rsid w:val="002B24E8"/>
    <w:rsid w:val="00304E86"/>
    <w:rsid w:val="003D3568"/>
    <w:rsid w:val="004E3BB6"/>
    <w:rsid w:val="004F76B8"/>
    <w:rsid w:val="005F0538"/>
    <w:rsid w:val="006405D0"/>
    <w:rsid w:val="006A32EC"/>
    <w:rsid w:val="006C7BFF"/>
    <w:rsid w:val="006D4A66"/>
    <w:rsid w:val="00715253"/>
    <w:rsid w:val="007B5A34"/>
    <w:rsid w:val="007C694B"/>
    <w:rsid w:val="00887934"/>
    <w:rsid w:val="009C5BAB"/>
    <w:rsid w:val="00A85636"/>
    <w:rsid w:val="00B6580C"/>
    <w:rsid w:val="00B727D1"/>
    <w:rsid w:val="00B73E21"/>
    <w:rsid w:val="00C10CE8"/>
    <w:rsid w:val="00C537DE"/>
    <w:rsid w:val="00C81CD0"/>
    <w:rsid w:val="00C858C3"/>
    <w:rsid w:val="00C935B6"/>
    <w:rsid w:val="00CD1D57"/>
    <w:rsid w:val="00D133DC"/>
    <w:rsid w:val="00D37E5A"/>
    <w:rsid w:val="00D55C65"/>
    <w:rsid w:val="00DA39CE"/>
    <w:rsid w:val="00DE0163"/>
    <w:rsid w:val="00E9356C"/>
    <w:rsid w:val="00EB10BA"/>
    <w:rsid w:val="00EC5E5F"/>
    <w:rsid w:val="00ED419A"/>
    <w:rsid w:val="00EE1544"/>
    <w:rsid w:val="00F13A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35DFDC"/>
  <w15:chartTrackingRefBased/>
  <w15:docId w15:val="{C5FA3FCC-EFA2-424A-815E-753F274E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3568"/>
    <w:pPr>
      <w:bidi/>
      <w:spacing w:after="0" w:line="240" w:lineRule="auto"/>
      <w:contextualSpacing/>
    </w:pPr>
    <w:rPr>
      <w:rFonts w:ascii="Times New Roman" w:hAnsi="Times New Roman" w:cs="David"/>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D356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nhideWhenUsed/>
    <w:rsid w:val="003D3568"/>
    <w:pPr>
      <w:tabs>
        <w:tab w:val="center" w:pos="4153"/>
        <w:tab w:val="right" w:pos="8306"/>
      </w:tabs>
    </w:pPr>
  </w:style>
  <w:style w:type="character" w:customStyle="1" w:styleId="a5">
    <w:name w:val="כותרת עליונה תו"/>
    <w:basedOn w:val="a0"/>
    <w:link w:val="a4"/>
    <w:rsid w:val="003D3568"/>
    <w:rPr>
      <w:rFonts w:ascii="Times New Roman" w:hAnsi="Times New Roman" w:cs="David"/>
      <w:szCs w:val="24"/>
    </w:rPr>
  </w:style>
  <w:style w:type="paragraph" w:styleId="a6">
    <w:name w:val="footer"/>
    <w:basedOn w:val="a"/>
    <w:link w:val="a7"/>
    <w:uiPriority w:val="99"/>
    <w:unhideWhenUsed/>
    <w:rsid w:val="003D3568"/>
    <w:pPr>
      <w:tabs>
        <w:tab w:val="center" w:pos="4153"/>
        <w:tab w:val="right" w:pos="8306"/>
      </w:tabs>
    </w:pPr>
  </w:style>
  <w:style w:type="character" w:customStyle="1" w:styleId="a7">
    <w:name w:val="כותרת תחתונה תו"/>
    <w:basedOn w:val="a0"/>
    <w:link w:val="a6"/>
    <w:uiPriority w:val="99"/>
    <w:rsid w:val="003D3568"/>
    <w:rPr>
      <w:rFonts w:ascii="Times New Roman" w:hAnsi="Times New Roman" w:cs="David"/>
      <w:szCs w:val="24"/>
    </w:rPr>
  </w:style>
  <w:style w:type="paragraph" w:styleId="a8">
    <w:name w:val="List Paragraph"/>
    <w:basedOn w:val="a"/>
    <w:uiPriority w:val="34"/>
    <w:qFormat/>
    <w:rsid w:val="003D3568"/>
    <w:pPr>
      <w:ind w:left="720"/>
    </w:pPr>
  </w:style>
  <w:style w:type="table" w:customStyle="1" w:styleId="TableGrid1">
    <w:name w:val="Table Grid1"/>
    <w:basedOn w:val="a1"/>
    <w:next w:val="a3"/>
    <w:uiPriority w:val="59"/>
    <w:rsid w:val="003D3568"/>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a0"/>
    <w:uiPriority w:val="99"/>
    <w:unhideWhenUsed/>
    <w:rsid w:val="003D35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1395</Words>
  <Characters>6857</Characters>
  <Application>Microsoft Office Word</Application>
  <DocSecurity>0</DocSecurity>
  <Lines>217</Lines>
  <Paragraphs>65</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החלטת מפקחת מקרקעין תל אביב, דחיית בקשה לביטול פסק דין, סופיות הסכם הפשרה, תמא 38</dc:title>
  <dc:subject/>
  <dc:creator>Oshrat Arfi moray</dc:creator>
  <cp:keywords>Produced By WeCo Office Accessibilty</cp:keywords>
  <dc:description>שלב 4 - טיפול בתמונות וקישורים
</dc:description>
  <cp:lastModifiedBy>Alaa Abu Khadra</cp:lastModifiedBy>
  <cp:revision>2</cp:revision>
  <cp:lastPrinted>2025-08-28T15:35:00Z</cp:lastPrinted>
  <dcterms:created xsi:type="dcterms:W3CDTF">2025-08-28T15:36:00Z</dcterms:created>
  <dcterms:modified xsi:type="dcterms:W3CDTF">2025-08-28T15:36:00Z</dcterms:modified>
  <dc:language>עברית</dc:language>
</cp:coreProperties>
</file>