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page" w:horzAnchor="margin" w:tblpXSpec="center" w:tblpY="3261"/>
        <w:bidiVisual/>
        <w:tblW w:w="11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864C03" w:rsidRPr="008A7D76" w14:paraId="62170343" w14:textId="77777777" w:rsidTr="008B1450">
        <w:trPr>
          <w:cantSplit/>
        </w:trPr>
        <w:tc>
          <w:tcPr>
            <w:tcW w:w="3118" w:type="dxa"/>
          </w:tcPr>
          <w:p w14:paraId="0BE467AC" w14:textId="77777777" w:rsidR="00864C03" w:rsidRPr="008A7D76" w:rsidRDefault="00864C03" w:rsidP="004504E1">
            <w:pPr>
              <w:pStyle w:val="a6"/>
              <w:jc w:val="center"/>
              <w:rPr>
                <w:rFonts w:ascii="David" w:hAnsi="David"/>
                <w:b/>
                <w:bCs/>
                <w:sz w:val="24"/>
                <w:rtl/>
              </w:rPr>
            </w:pPr>
          </w:p>
        </w:tc>
        <w:tc>
          <w:tcPr>
            <w:tcW w:w="3686" w:type="dxa"/>
          </w:tcPr>
          <w:p w14:paraId="5469E482" w14:textId="77777777" w:rsidR="00864C03" w:rsidRPr="008A7D76" w:rsidRDefault="00864C03" w:rsidP="004504E1">
            <w:pPr>
              <w:pStyle w:val="a6"/>
              <w:jc w:val="center"/>
              <w:rPr>
                <w:rFonts w:ascii="David" w:hAnsi="David"/>
                <w:b/>
                <w:bCs/>
                <w:sz w:val="24"/>
                <w:rtl/>
              </w:rPr>
            </w:pPr>
          </w:p>
        </w:tc>
        <w:tc>
          <w:tcPr>
            <w:tcW w:w="4537" w:type="dxa"/>
          </w:tcPr>
          <w:p w14:paraId="7D7043D0" w14:textId="77777777" w:rsidR="00864C03" w:rsidRDefault="00864C03" w:rsidP="004504E1">
            <w:r w:rsidRPr="008A7D76">
              <w:rPr>
                <w:rFonts w:ascii="David" w:hAnsi="David" w:hint="cs"/>
                <w:b/>
                <w:bCs/>
                <w:sz w:val="24"/>
                <w:rtl/>
              </w:rPr>
              <w:t xml:space="preserve">בפני כבוד </w:t>
            </w:r>
            <w:r>
              <w:rPr>
                <w:rFonts w:ascii="David" w:hAnsi="David" w:hint="cs"/>
                <w:b/>
                <w:bCs/>
                <w:noProof/>
                <w:sz w:val="24"/>
                <w:rtl/>
              </w:rPr>
              <w:t>ה</w:t>
            </w:r>
            <w:r>
              <w:rPr>
                <w:rFonts w:ascii="David" w:hAnsi="David"/>
                <w:b/>
                <w:bCs/>
                <w:noProof/>
                <w:sz w:val="24"/>
                <w:rtl/>
              </w:rPr>
              <w:t>מפקח על רישום מקרקעין</w:t>
            </w:r>
            <w:r>
              <w:t xml:space="preserve"> </w:t>
            </w:r>
          </w:p>
          <w:p w14:paraId="56E674AD" w14:textId="77777777" w:rsidR="00864C03" w:rsidRPr="008A7D76" w:rsidRDefault="00864C03" w:rsidP="004504E1">
            <w:pPr>
              <w:rPr>
                <w:rFonts w:ascii="David" w:hAnsi="David"/>
                <w:sz w:val="24"/>
                <w:rtl/>
              </w:rPr>
            </w:pPr>
            <w:r>
              <w:rPr>
                <w:rFonts w:ascii="David" w:hAnsi="David"/>
                <w:b/>
                <w:bCs/>
                <w:noProof/>
                <w:sz w:val="24"/>
                <w:rtl/>
              </w:rPr>
              <w:t>ברק ליפשיץ</w:t>
            </w:r>
          </w:p>
        </w:tc>
      </w:tr>
    </w:tbl>
    <w:p w14:paraId="050F28C8" w14:textId="77777777" w:rsidR="000777B4" w:rsidRPr="000777B4" w:rsidRDefault="000777B4" w:rsidP="00864C03">
      <w:pPr>
        <w:spacing w:after="200" w:line="276" w:lineRule="auto"/>
        <w:contextualSpacing w:val="0"/>
        <w:jc w:val="center"/>
        <w:rPr>
          <w:b/>
          <w:bCs/>
          <w:color w:val="FF0000"/>
          <w:sz w:val="20"/>
          <w:szCs w:val="20"/>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0777B4" w14:paraId="3663B140" w14:textId="77777777" w:rsidTr="008B1450">
        <w:trPr>
          <w:cantSplit/>
        </w:trPr>
        <w:tc>
          <w:tcPr>
            <w:tcW w:w="916" w:type="pct"/>
          </w:tcPr>
          <w:p w14:paraId="319C357B" w14:textId="77777777" w:rsidR="000777B4" w:rsidRDefault="000777B4" w:rsidP="0099023F">
            <w:pPr>
              <w:spacing w:before="100" w:beforeAutospacing="1" w:after="100" w:afterAutospacing="1" w:line="276" w:lineRule="auto"/>
              <w:rPr>
                <w:rFonts w:ascii="David" w:hAnsi="David"/>
                <w:sz w:val="24"/>
                <w:rtl/>
              </w:rPr>
            </w:pPr>
            <w:r>
              <w:rPr>
                <w:rFonts w:ascii="David" w:hAnsi="David" w:hint="cs"/>
                <w:sz w:val="24"/>
                <w:rtl/>
              </w:rPr>
              <w:t>ה</w:t>
            </w:r>
            <w:r>
              <w:rPr>
                <w:rFonts w:ascii="David" w:hAnsi="David"/>
                <w:sz w:val="24"/>
                <w:rtl/>
              </w:rPr>
              <w:t>תובע</w:t>
            </w:r>
            <w:r>
              <w:rPr>
                <w:rFonts w:ascii="David" w:hAnsi="David" w:hint="cs"/>
                <w:sz w:val="24"/>
                <w:rtl/>
              </w:rPr>
              <w:t>ת:</w:t>
            </w:r>
          </w:p>
        </w:tc>
        <w:tc>
          <w:tcPr>
            <w:tcW w:w="845" w:type="pct"/>
          </w:tcPr>
          <w:p w14:paraId="50BC8BB2" w14:textId="77777777" w:rsidR="000777B4" w:rsidRDefault="000777B4" w:rsidP="0099023F">
            <w:pPr>
              <w:spacing w:before="100" w:beforeAutospacing="1" w:after="100" w:afterAutospacing="1"/>
              <w:rPr>
                <w:rFonts w:ascii="David" w:hAnsi="David"/>
                <w:sz w:val="24"/>
              </w:rPr>
            </w:pPr>
          </w:p>
        </w:tc>
        <w:tc>
          <w:tcPr>
            <w:tcW w:w="352" w:type="pct"/>
          </w:tcPr>
          <w:p w14:paraId="6C480799" w14:textId="77777777" w:rsidR="000777B4" w:rsidRDefault="000777B4" w:rsidP="0099023F">
            <w:pPr>
              <w:spacing w:before="100" w:beforeAutospacing="1" w:after="100" w:afterAutospacing="1"/>
              <w:rPr>
                <w:rFonts w:ascii="David" w:hAnsi="David"/>
                <w:sz w:val="24"/>
              </w:rPr>
            </w:pPr>
          </w:p>
        </w:tc>
        <w:tc>
          <w:tcPr>
            <w:tcW w:w="2887" w:type="pct"/>
          </w:tcPr>
          <w:p w14:paraId="225873EB"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קרן מכבי (ע"ר),</w:t>
            </w:r>
            <w:r w:rsidRPr="00A93832">
              <w:rPr>
                <w:rFonts w:ascii="David" w:hAnsi="David"/>
                <w:sz w:val="24"/>
                <w:rtl/>
              </w:rPr>
              <w:t xml:space="preserve">  </w:t>
            </w:r>
            <w:r>
              <w:rPr>
                <w:rFonts w:ascii="David" w:hAnsi="David"/>
                <w:sz w:val="24"/>
                <w:rtl/>
              </w:rPr>
              <w:t>580070993</w:t>
            </w:r>
            <w:r>
              <w:br/>
            </w:r>
          </w:p>
        </w:tc>
      </w:tr>
      <w:tr w:rsidR="000777B4" w14:paraId="258EDFB9" w14:textId="77777777" w:rsidTr="008B1450">
        <w:trPr>
          <w:cantSplit/>
        </w:trPr>
        <w:tc>
          <w:tcPr>
            <w:tcW w:w="916" w:type="pct"/>
          </w:tcPr>
          <w:p w14:paraId="2993A48A"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201C1621" w14:textId="77777777" w:rsidR="000777B4" w:rsidRDefault="000777B4" w:rsidP="0099023F">
            <w:pPr>
              <w:spacing w:before="100" w:beforeAutospacing="1" w:after="100" w:afterAutospacing="1"/>
              <w:rPr>
                <w:rFonts w:ascii="David" w:hAnsi="David"/>
                <w:sz w:val="24"/>
              </w:rPr>
            </w:pPr>
          </w:p>
        </w:tc>
        <w:tc>
          <w:tcPr>
            <w:tcW w:w="352" w:type="pct"/>
          </w:tcPr>
          <w:p w14:paraId="7089BB37" w14:textId="77777777" w:rsidR="000777B4" w:rsidRDefault="000777B4" w:rsidP="0099023F">
            <w:pPr>
              <w:spacing w:before="100" w:beforeAutospacing="1" w:after="100" w:afterAutospacing="1"/>
              <w:rPr>
                <w:rFonts w:ascii="David" w:hAnsi="David"/>
                <w:sz w:val="24"/>
              </w:rPr>
            </w:pPr>
          </w:p>
        </w:tc>
        <w:tc>
          <w:tcPr>
            <w:tcW w:w="2887" w:type="pct"/>
          </w:tcPr>
          <w:p w14:paraId="6EE014E7"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באמצעות ב"כ: עו"ד סופר דוד</w:t>
            </w:r>
            <w:r>
              <w:br/>
            </w:r>
            <w:r>
              <w:rPr>
                <w:rFonts w:ascii="David" w:hAnsi="David"/>
                <w:sz w:val="24"/>
                <w:rtl/>
              </w:rPr>
              <w:t>המסגר 55, תל אביב - יפו</w:t>
            </w:r>
            <w:r>
              <w:br/>
            </w:r>
            <w:r>
              <w:rPr>
                <w:rFonts w:ascii="David" w:hAnsi="David"/>
                <w:sz w:val="24"/>
                <w:rtl/>
              </w:rPr>
              <w:t xml:space="preserve">טל':0544527240 </w:t>
            </w:r>
            <w:r>
              <w:br/>
            </w:r>
          </w:p>
        </w:tc>
      </w:tr>
      <w:tr w:rsidR="000777B4" w14:paraId="77295DD8" w14:textId="77777777" w:rsidTr="008B1450">
        <w:trPr>
          <w:cantSplit/>
        </w:trPr>
        <w:tc>
          <w:tcPr>
            <w:tcW w:w="916" w:type="pct"/>
          </w:tcPr>
          <w:p w14:paraId="75299525"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574B9D95" w14:textId="77777777" w:rsidR="000777B4" w:rsidRDefault="000777B4" w:rsidP="0099023F">
            <w:pPr>
              <w:spacing w:before="100" w:beforeAutospacing="1" w:after="100" w:afterAutospacing="1"/>
              <w:rPr>
                <w:rFonts w:ascii="David" w:hAnsi="David"/>
                <w:sz w:val="24"/>
              </w:rPr>
            </w:pPr>
          </w:p>
        </w:tc>
        <w:tc>
          <w:tcPr>
            <w:tcW w:w="352" w:type="pct"/>
          </w:tcPr>
          <w:p w14:paraId="0AE941C3" w14:textId="77777777" w:rsidR="000777B4" w:rsidRDefault="000777B4" w:rsidP="0099023F">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318C8725" w14:textId="77777777" w:rsidR="000777B4" w:rsidRDefault="000777B4" w:rsidP="0099023F">
            <w:pPr>
              <w:spacing w:before="100" w:beforeAutospacing="1" w:after="100" w:afterAutospacing="1" w:line="276" w:lineRule="auto"/>
              <w:rPr>
                <w:rFonts w:ascii="David" w:hAnsi="David"/>
                <w:sz w:val="24"/>
                <w:rtl/>
              </w:rPr>
            </w:pPr>
          </w:p>
        </w:tc>
      </w:tr>
      <w:tr w:rsidR="000777B4" w14:paraId="23D97CAE" w14:textId="77777777" w:rsidTr="008B1450">
        <w:trPr>
          <w:cantSplit/>
        </w:trPr>
        <w:tc>
          <w:tcPr>
            <w:tcW w:w="916" w:type="pct"/>
          </w:tcPr>
          <w:p w14:paraId="09022BA5" w14:textId="77777777" w:rsidR="000777B4" w:rsidRDefault="000777B4" w:rsidP="0099023F">
            <w:pPr>
              <w:spacing w:before="100" w:beforeAutospacing="1" w:after="100" w:afterAutospacing="1" w:line="276" w:lineRule="auto"/>
              <w:rPr>
                <w:rFonts w:ascii="David" w:hAnsi="David"/>
                <w:sz w:val="24"/>
                <w:rtl/>
              </w:rPr>
            </w:pPr>
            <w:r>
              <w:rPr>
                <w:rFonts w:ascii="David" w:hAnsi="David" w:hint="cs"/>
                <w:sz w:val="24"/>
                <w:rtl/>
              </w:rPr>
              <w:t>ה</w:t>
            </w:r>
            <w:r>
              <w:rPr>
                <w:rFonts w:ascii="David" w:hAnsi="David"/>
                <w:sz w:val="24"/>
                <w:rtl/>
              </w:rPr>
              <w:t>נתבעים</w:t>
            </w:r>
            <w:r>
              <w:rPr>
                <w:rFonts w:ascii="David" w:hAnsi="David" w:hint="cs"/>
                <w:sz w:val="24"/>
                <w:rtl/>
              </w:rPr>
              <w:t>:</w:t>
            </w:r>
          </w:p>
        </w:tc>
        <w:tc>
          <w:tcPr>
            <w:tcW w:w="845" w:type="pct"/>
          </w:tcPr>
          <w:p w14:paraId="33511C4E" w14:textId="77777777" w:rsidR="000777B4" w:rsidRDefault="000777B4" w:rsidP="0099023F">
            <w:pPr>
              <w:spacing w:before="100" w:beforeAutospacing="1" w:after="100" w:afterAutospacing="1"/>
              <w:rPr>
                <w:rFonts w:ascii="David" w:hAnsi="David"/>
                <w:sz w:val="24"/>
              </w:rPr>
            </w:pPr>
          </w:p>
        </w:tc>
        <w:tc>
          <w:tcPr>
            <w:tcW w:w="352" w:type="pct"/>
          </w:tcPr>
          <w:p w14:paraId="49B79B20" w14:textId="77777777" w:rsidR="000777B4" w:rsidRDefault="000777B4" w:rsidP="0099023F">
            <w:pPr>
              <w:spacing w:before="100" w:beforeAutospacing="1" w:after="100" w:afterAutospacing="1"/>
              <w:rPr>
                <w:rFonts w:ascii="David" w:hAnsi="David"/>
                <w:sz w:val="24"/>
              </w:rPr>
            </w:pPr>
            <w:r>
              <w:rPr>
                <w:rFonts w:ascii="David" w:hAnsi="David"/>
                <w:sz w:val="24"/>
                <w:rtl/>
              </w:rPr>
              <w:t>1</w:t>
            </w:r>
          </w:p>
        </w:tc>
        <w:tc>
          <w:tcPr>
            <w:tcW w:w="2887" w:type="pct"/>
          </w:tcPr>
          <w:p w14:paraId="23C6FCB5"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רבוע כחול נדל"ן בע"מ, ח</w:t>
            </w:r>
            <w:r>
              <w:rPr>
                <w:rFonts w:ascii="David" w:hAnsi="David" w:hint="cs"/>
                <w:sz w:val="24"/>
                <w:rtl/>
              </w:rPr>
              <w:t>.צ</w:t>
            </w:r>
            <w:r w:rsidRPr="00A93832">
              <w:rPr>
                <w:rFonts w:ascii="David" w:hAnsi="David"/>
                <w:sz w:val="24"/>
                <w:rtl/>
              </w:rPr>
              <w:t xml:space="preserve">  </w:t>
            </w:r>
            <w:r>
              <w:rPr>
                <w:rFonts w:ascii="David" w:hAnsi="David"/>
                <w:sz w:val="24"/>
                <w:rtl/>
              </w:rPr>
              <w:t>513765859</w:t>
            </w:r>
            <w:r>
              <w:br/>
            </w:r>
            <w:r>
              <w:rPr>
                <w:rFonts w:ascii="David" w:hAnsi="David"/>
                <w:sz w:val="24"/>
                <w:rtl/>
              </w:rPr>
              <w:t>תל אביב - יפו מרכז עזריאלי 1</w:t>
            </w:r>
            <w:r w:rsidRPr="00A93832">
              <w:rPr>
                <w:rFonts w:ascii="David" w:hAnsi="David"/>
                <w:sz w:val="24"/>
                <w:rtl/>
              </w:rPr>
              <w:t xml:space="preserve"> </w:t>
            </w:r>
            <w:r>
              <w:br/>
            </w:r>
          </w:p>
        </w:tc>
      </w:tr>
      <w:tr w:rsidR="000777B4" w14:paraId="09A208BB" w14:textId="77777777" w:rsidTr="008B1450">
        <w:trPr>
          <w:cantSplit/>
        </w:trPr>
        <w:tc>
          <w:tcPr>
            <w:tcW w:w="916" w:type="pct"/>
          </w:tcPr>
          <w:p w14:paraId="6990D947"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74EC703A" w14:textId="77777777" w:rsidR="000777B4" w:rsidRDefault="000777B4" w:rsidP="0099023F">
            <w:pPr>
              <w:spacing w:before="100" w:beforeAutospacing="1" w:after="100" w:afterAutospacing="1"/>
              <w:rPr>
                <w:rFonts w:ascii="David" w:hAnsi="David"/>
                <w:sz w:val="24"/>
              </w:rPr>
            </w:pPr>
          </w:p>
        </w:tc>
        <w:tc>
          <w:tcPr>
            <w:tcW w:w="352" w:type="pct"/>
          </w:tcPr>
          <w:p w14:paraId="2D9A4F71" w14:textId="77777777" w:rsidR="000777B4" w:rsidRDefault="000777B4" w:rsidP="0099023F">
            <w:pPr>
              <w:spacing w:before="100" w:beforeAutospacing="1" w:after="100" w:afterAutospacing="1"/>
              <w:rPr>
                <w:rFonts w:ascii="David" w:hAnsi="David"/>
                <w:sz w:val="24"/>
              </w:rPr>
            </w:pPr>
            <w:r>
              <w:rPr>
                <w:rFonts w:ascii="David" w:hAnsi="David"/>
                <w:sz w:val="24"/>
                <w:rtl/>
              </w:rPr>
              <w:t>2</w:t>
            </w:r>
          </w:p>
        </w:tc>
        <w:tc>
          <w:tcPr>
            <w:tcW w:w="2887" w:type="pct"/>
          </w:tcPr>
          <w:p w14:paraId="13E66AF6"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גריפון לבניה ופיתוח בע"מ, ח</w:t>
            </w:r>
            <w:r>
              <w:rPr>
                <w:rFonts w:ascii="David" w:hAnsi="David" w:hint="cs"/>
                <w:sz w:val="24"/>
                <w:rtl/>
              </w:rPr>
              <w:t>.פ</w:t>
            </w:r>
            <w:r w:rsidRPr="00A93832">
              <w:rPr>
                <w:rFonts w:ascii="David" w:hAnsi="David"/>
                <w:sz w:val="24"/>
                <w:rtl/>
              </w:rPr>
              <w:t xml:space="preserve">  </w:t>
            </w:r>
            <w:r>
              <w:rPr>
                <w:rFonts w:ascii="David" w:hAnsi="David"/>
                <w:sz w:val="24"/>
                <w:rtl/>
              </w:rPr>
              <w:t>511942328</w:t>
            </w:r>
            <w:r>
              <w:br/>
            </w:r>
            <w:r>
              <w:rPr>
                <w:rFonts w:ascii="David" w:hAnsi="David"/>
                <w:sz w:val="24"/>
                <w:rtl/>
              </w:rPr>
              <w:t>חטיבת הראל 10, מודיעין-מכבים-רעות</w:t>
            </w:r>
            <w:r>
              <w:br/>
            </w:r>
            <w:r>
              <w:rPr>
                <w:rFonts w:ascii="David" w:hAnsi="David"/>
                <w:sz w:val="24"/>
                <w:rtl/>
              </w:rPr>
              <w:t xml:space="preserve">טל':035076811 </w:t>
            </w:r>
            <w:r>
              <w:br/>
            </w:r>
          </w:p>
        </w:tc>
      </w:tr>
      <w:tr w:rsidR="000777B4" w14:paraId="4720BE9B" w14:textId="77777777" w:rsidTr="008B1450">
        <w:trPr>
          <w:cantSplit/>
        </w:trPr>
        <w:tc>
          <w:tcPr>
            <w:tcW w:w="916" w:type="pct"/>
          </w:tcPr>
          <w:p w14:paraId="2835AB9A"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2E04F93B" w14:textId="77777777" w:rsidR="000777B4" w:rsidRDefault="000777B4" w:rsidP="0099023F">
            <w:pPr>
              <w:spacing w:before="100" w:beforeAutospacing="1" w:after="100" w:afterAutospacing="1"/>
              <w:rPr>
                <w:rFonts w:ascii="David" w:hAnsi="David"/>
                <w:sz w:val="24"/>
              </w:rPr>
            </w:pPr>
          </w:p>
        </w:tc>
        <w:tc>
          <w:tcPr>
            <w:tcW w:w="352" w:type="pct"/>
          </w:tcPr>
          <w:p w14:paraId="0FDA0E73" w14:textId="77777777" w:rsidR="000777B4" w:rsidRDefault="000777B4" w:rsidP="0099023F">
            <w:pPr>
              <w:spacing w:before="100" w:beforeAutospacing="1" w:after="100" w:afterAutospacing="1"/>
              <w:rPr>
                <w:rFonts w:ascii="David" w:hAnsi="David"/>
                <w:sz w:val="24"/>
              </w:rPr>
            </w:pPr>
            <w:r>
              <w:rPr>
                <w:rFonts w:ascii="David" w:hAnsi="David"/>
                <w:sz w:val="24"/>
                <w:rtl/>
              </w:rPr>
              <w:t>3</w:t>
            </w:r>
          </w:p>
        </w:tc>
        <w:tc>
          <w:tcPr>
            <w:tcW w:w="2887" w:type="pct"/>
          </w:tcPr>
          <w:p w14:paraId="3B69063A" w14:textId="69C27E92" w:rsidR="000777B4" w:rsidRDefault="000777B4" w:rsidP="0099023F">
            <w:pPr>
              <w:spacing w:before="100" w:beforeAutospacing="1" w:after="100" w:afterAutospacing="1" w:line="276" w:lineRule="auto"/>
              <w:rPr>
                <w:rFonts w:ascii="David" w:hAnsi="David"/>
                <w:sz w:val="24"/>
                <w:rtl/>
              </w:rPr>
            </w:pPr>
            <w:r>
              <w:rPr>
                <w:rFonts w:ascii="David" w:hAnsi="David"/>
                <w:sz w:val="24"/>
                <w:rtl/>
              </w:rPr>
              <w:t>פינס דרור</w:t>
            </w:r>
            <w:r>
              <w:br/>
            </w:r>
            <w:r>
              <w:rPr>
                <w:rFonts w:ascii="David" w:hAnsi="David"/>
                <w:sz w:val="24"/>
                <w:rtl/>
              </w:rPr>
              <w:t>ריכטר ברטון 8, ראשון לציון</w:t>
            </w:r>
            <w:r>
              <w:br/>
            </w:r>
          </w:p>
        </w:tc>
      </w:tr>
      <w:tr w:rsidR="000777B4" w14:paraId="142C1D9B" w14:textId="77777777" w:rsidTr="008B1450">
        <w:trPr>
          <w:cantSplit/>
        </w:trPr>
        <w:tc>
          <w:tcPr>
            <w:tcW w:w="916" w:type="pct"/>
          </w:tcPr>
          <w:p w14:paraId="4E3D0A7D"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16C83082" w14:textId="77777777" w:rsidR="000777B4" w:rsidRDefault="000777B4" w:rsidP="0099023F">
            <w:pPr>
              <w:spacing w:before="100" w:beforeAutospacing="1" w:after="100" w:afterAutospacing="1"/>
              <w:rPr>
                <w:rFonts w:ascii="David" w:hAnsi="David"/>
                <w:sz w:val="24"/>
              </w:rPr>
            </w:pPr>
          </w:p>
        </w:tc>
        <w:tc>
          <w:tcPr>
            <w:tcW w:w="352" w:type="pct"/>
          </w:tcPr>
          <w:p w14:paraId="18F9AF90" w14:textId="77777777" w:rsidR="000777B4" w:rsidRDefault="000777B4" w:rsidP="0099023F">
            <w:pPr>
              <w:spacing w:before="100" w:beforeAutospacing="1" w:after="100" w:afterAutospacing="1"/>
              <w:rPr>
                <w:rFonts w:ascii="David" w:hAnsi="David"/>
                <w:sz w:val="24"/>
              </w:rPr>
            </w:pPr>
            <w:r>
              <w:rPr>
                <w:rFonts w:ascii="David" w:hAnsi="David"/>
                <w:sz w:val="24"/>
                <w:rtl/>
              </w:rPr>
              <w:t>4</w:t>
            </w:r>
          </w:p>
        </w:tc>
        <w:tc>
          <w:tcPr>
            <w:tcW w:w="2887" w:type="pct"/>
          </w:tcPr>
          <w:p w14:paraId="3DD0F3F7" w14:textId="657E8C7D" w:rsidR="000777B4" w:rsidRDefault="000777B4" w:rsidP="0099023F">
            <w:pPr>
              <w:spacing w:before="100" w:beforeAutospacing="1" w:after="100" w:afterAutospacing="1" w:line="276" w:lineRule="auto"/>
              <w:rPr>
                <w:rFonts w:ascii="David" w:hAnsi="David"/>
                <w:sz w:val="24"/>
                <w:rtl/>
              </w:rPr>
            </w:pPr>
            <w:r>
              <w:rPr>
                <w:rFonts w:ascii="David" w:hAnsi="David"/>
                <w:sz w:val="24"/>
                <w:rtl/>
              </w:rPr>
              <w:t>שר יפה</w:t>
            </w:r>
            <w:r>
              <w:br/>
            </w:r>
            <w:r>
              <w:rPr>
                <w:rFonts w:ascii="David" w:hAnsi="David"/>
                <w:sz w:val="24"/>
                <w:rtl/>
              </w:rPr>
              <w:t>אברבנאל 29, ראשון לציון</w:t>
            </w:r>
            <w:r>
              <w:br/>
            </w:r>
          </w:p>
        </w:tc>
      </w:tr>
      <w:tr w:rsidR="000777B4" w14:paraId="152AB9E0" w14:textId="77777777" w:rsidTr="008B1450">
        <w:trPr>
          <w:cantSplit/>
        </w:trPr>
        <w:tc>
          <w:tcPr>
            <w:tcW w:w="916" w:type="pct"/>
          </w:tcPr>
          <w:p w14:paraId="7B7872BC"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56D695AD" w14:textId="77777777" w:rsidR="000777B4" w:rsidRDefault="000777B4" w:rsidP="0099023F">
            <w:pPr>
              <w:spacing w:before="100" w:beforeAutospacing="1" w:after="100" w:afterAutospacing="1"/>
              <w:rPr>
                <w:rFonts w:ascii="David" w:hAnsi="David"/>
                <w:sz w:val="24"/>
              </w:rPr>
            </w:pPr>
          </w:p>
        </w:tc>
        <w:tc>
          <w:tcPr>
            <w:tcW w:w="352" w:type="pct"/>
          </w:tcPr>
          <w:p w14:paraId="0138DF99" w14:textId="77777777" w:rsidR="000777B4" w:rsidRDefault="000777B4" w:rsidP="0099023F">
            <w:pPr>
              <w:spacing w:before="100" w:beforeAutospacing="1" w:after="100" w:afterAutospacing="1"/>
              <w:rPr>
                <w:rFonts w:ascii="David" w:hAnsi="David"/>
                <w:sz w:val="24"/>
              </w:rPr>
            </w:pPr>
            <w:r>
              <w:rPr>
                <w:rFonts w:ascii="David" w:hAnsi="David"/>
                <w:sz w:val="24"/>
                <w:rtl/>
              </w:rPr>
              <w:t>5</w:t>
            </w:r>
          </w:p>
        </w:tc>
        <w:tc>
          <w:tcPr>
            <w:tcW w:w="2887" w:type="pct"/>
          </w:tcPr>
          <w:p w14:paraId="7DE6AA93" w14:textId="42E0955D" w:rsidR="000777B4" w:rsidRDefault="000777B4" w:rsidP="0099023F">
            <w:pPr>
              <w:spacing w:before="100" w:beforeAutospacing="1" w:after="100" w:afterAutospacing="1" w:line="276" w:lineRule="auto"/>
              <w:rPr>
                <w:rFonts w:ascii="David" w:hAnsi="David"/>
                <w:sz w:val="24"/>
                <w:rtl/>
              </w:rPr>
            </w:pPr>
            <w:r>
              <w:rPr>
                <w:rFonts w:ascii="David" w:hAnsi="David"/>
                <w:sz w:val="24"/>
                <w:rtl/>
              </w:rPr>
              <w:t>סלטון מרדכי</w:t>
            </w:r>
            <w:r>
              <w:br/>
            </w:r>
            <w:r>
              <w:rPr>
                <w:rFonts w:ascii="David" w:hAnsi="David"/>
                <w:sz w:val="24"/>
                <w:rtl/>
              </w:rPr>
              <w:t>בן גוריון 108, רמת השרון</w:t>
            </w:r>
            <w:r>
              <w:br/>
            </w:r>
          </w:p>
        </w:tc>
      </w:tr>
      <w:tr w:rsidR="000777B4" w14:paraId="63DFF157" w14:textId="77777777" w:rsidTr="008B1450">
        <w:trPr>
          <w:cantSplit/>
        </w:trPr>
        <w:tc>
          <w:tcPr>
            <w:tcW w:w="916" w:type="pct"/>
          </w:tcPr>
          <w:p w14:paraId="232977C1"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08E3F57E" w14:textId="77777777" w:rsidR="000777B4" w:rsidRDefault="000777B4" w:rsidP="0099023F">
            <w:pPr>
              <w:spacing w:before="100" w:beforeAutospacing="1" w:after="100" w:afterAutospacing="1"/>
              <w:rPr>
                <w:rFonts w:ascii="David" w:hAnsi="David"/>
                <w:sz w:val="24"/>
              </w:rPr>
            </w:pPr>
          </w:p>
        </w:tc>
        <w:tc>
          <w:tcPr>
            <w:tcW w:w="352" w:type="pct"/>
          </w:tcPr>
          <w:p w14:paraId="2C4D961A" w14:textId="77777777" w:rsidR="000777B4" w:rsidRDefault="000777B4" w:rsidP="0099023F">
            <w:pPr>
              <w:spacing w:before="100" w:beforeAutospacing="1" w:after="100" w:afterAutospacing="1"/>
              <w:rPr>
                <w:rFonts w:ascii="David" w:hAnsi="David"/>
                <w:sz w:val="24"/>
              </w:rPr>
            </w:pPr>
            <w:r>
              <w:rPr>
                <w:rFonts w:ascii="David" w:hAnsi="David"/>
                <w:sz w:val="24"/>
                <w:rtl/>
              </w:rPr>
              <w:t>6</w:t>
            </w:r>
          </w:p>
        </w:tc>
        <w:tc>
          <w:tcPr>
            <w:tcW w:w="2887" w:type="pct"/>
          </w:tcPr>
          <w:p w14:paraId="245F85E7" w14:textId="77777777" w:rsidR="002B2DC6" w:rsidRDefault="000777B4" w:rsidP="0099023F">
            <w:pPr>
              <w:spacing w:before="100" w:beforeAutospacing="1" w:after="100" w:afterAutospacing="1" w:line="276" w:lineRule="auto"/>
              <w:rPr>
                <w:rFonts w:ascii="David" w:hAnsi="David"/>
                <w:sz w:val="24"/>
                <w:rtl/>
              </w:rPr>
            </w:pPr>
            <w:r>
              <w:rPr>
                <w:rFonts w:ascii="David" w:hAnsi="David"/>
                <w:sz w:val="24"/>
                <w:rtl/>
              </w:rPr>
              <w:t>אשכנזי ניסים</w:t>
            </w:r>
          </w:p>
          <w:p w14:paraId="3784272E" w14:textId="7FA0B5B9" w:rsidR="000777B4" w:rsidRDefault="000777B4" w:rsidP="0099023F">
            <w:pPr>
              <w:spacing w:before="100" w:beforeAutospacing="1" w:after="100" w:afterAutospacing="1" w:line="276" w:lineRule="auto"/>
              <w:rPr>
                <w:rFonts w:ascii="David" w:hAnsi="David"/>
                <w:sz w:val="24"/>
                <w:rtl/>
              </w:rPr>
            </w:pPr>
            <w:r>
              <w:rPr>
                <w:rFonts w:ascii="David" w:hAnsi="David"/>
                <w:sz w:val="24"/>
                <w:rtl/>
              </w:rPr>
              <w:t>הדס 4, חולון</w:t>
            </w:r>
            <w:r>
              <w:br/>
            </w:r>
          </w:p>
        </w:tc>
      </w:tr>
      <w:tr w:rsidR="000777B4" w14:paraId="378BE6CF" w14:textId="77777777" w:rsidTr="008B1450">
        <w:trPr>
          <w:cantSplit/>
        </w:trPr>
        <w:tc>
          <w:tcPr>
            <w:tcW w:w="916" w:type="pct"/>
          </w:tcPr>
          <w:p w14:paraId="213A8A72"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5DDE0A35" w14:textId="77777777" w:rsidR="000777B4" w:rsidRDefault="000777B4" w:rsidP="0099023F">
            <w:pPr>
              <w:spacing w:before="100" w:beforeAutospacing="1" w:after="100" w:afterAutospacing="1"/>
              <w:rPr>
                <w:rFonts w:ascii="David" w:hAnsi="David"/>
                <w:sz w:val="24"/>
              </w:rPr>
            </w:pPr>
          </w:p>
        </w:tc>
        <w:tc>
          <w:tcPr>
            <w:tcW w:w="352" w:type="pct"/>
          </w:tcPr>
          <w:p w14:paraId="2A3A8872" w14:textId="77777777" w:rsidR="000777B4" w:rsidRDefault="000777B4" w:rsidP="0099023F">
            <w:pPr>
              <w:spacing w:before="100" w:beforeAutospacing="1" w:after="100" w:afterAutospacing="1"/>
              <w:rPr>
                <w:rFonts w:ascii="David" w:hAnsi="David"/>
                <w:sz w:val="24"/>
              </w:rPr>
            </w:pPr>
            <w:r>
              <w:rPr>
                <w:rFonts w:ascii="David" w:hAnsi="David"/>
                <w:sz w:val="24"/>
                <w:rtl/>
              </w:rPr>
              <w:t>7</w:t>
            </w:r>
          </w:p>
        </w:tc>
        <w:tc>
          <w:tcPr>
            <w:tcW w:w="2887" w:type="pct"/>
          </w:tcPr>
          <w:p w14:paraId="22913430" w14:textId="53686CFF" w:rsidR="000777B4" w:rsidRDefault="000777B4" w:rsidP="0099023F">
            <w:pPr>
              <w:spacing w:before="100" w:beforeAutospacing="1" w:after="100" w:afterAutospacing="1" w:line="276" w:lineRule="auto"/>
              <w:rPr>
                <w:rFonts w:ascii="David" w:hAnsi="David"/>
                <w:sz w:val="24"/>
                <w:rtl/>
              </w:rPr>
            </w:pPr>
            <w:r>
              <w:rPr>
                <w:rFonts w:ascii="David" w:hAnsi="David"/>
                <w:sz w:val="24"/>
                <w:rtl/>
              </w:rPr>
              <w:t>אשכנזי מירב</w:t>
            </w:r>
            <w:r>
              <w:br/>
            </w:r>
            <w:r>
              <w:rPr>
                <w:rFonts w:ascii="David" w:hAnsi="David"/>
                <w:sz w:val="24"/>
                <w:rtl/>
              </w:rPr>
              <w:t>הדס 4, חולון</w:t>
            </w:r>
            <w:r>
              <w:br/>
            </w:r>
          </w:p>
        </w:tc>
      </w:tr>
      <w:tr w:rsidR="000777B4" w14:paraId="41C1F52E" w14:textId="77777777" w:rsidTr="008B1450">
        <w:trPr>
          <w:cantSplit/>
        </w:trPr>
        <w:tc>
          <w:tcPr>
            <w:tcW w:w="916" w:type="pct"/>
          </w:tcPr>
          <w:p w14:paraId="0D227715"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7E3F18F9" w14:textId="77777777" w:rsidR="000777B4" w:rsidRDefault="000777B4" w:rsidP="0099023F">
            <w:pPr>
              <w:spacing w:before="100" w:beforeAutospacing="1" w:after="100" w:afterAutospacing="1"/>
              <w:rPr>
                <w:rFonts w:ascii="David" w:hAnsi="David"/>
                <w:sz w:val="24"/>
              </w:rPr>
            </w:pPr>
          </w:p>
        </w:tc>
        <w:tc>
          <w:tcPr>
            <w:tcW w:w="352" w:type="pct"/>
          </w:tcPr>
          <w:p w14:paraId="55ADF913" w14:textId="77777777" w:rsidR="000777B4" w:rsidRDefault="000777B4" w:rsidP="0099023F">
            <w:pPr>
              <w:spacing w:before="100" w:beforeAutospacing="1" w:after="100" w:afterAutospacing="1"/>
              <w:rPr>
                <w:rFonts w:ascii="David" w:hAnsi="David"/>
                <w:sz w:val="24"/>
              </w:rPr>
            </w:pPr>
            <w:r>
              <w:rPr>
                <w:rFonts w:ascii="David" w:hAnsi="David"/>
                <w:sz w:val="24"/>
                <w:rtl/>
              </w:rPr>
              <w:t>8</w:t>
            </w:r>
          </w:p>
        </w:tc>
        <w:tc>
          <w:tcPr>
            <w:tcW w:w="2887" w:type="pct"/>
          </w:tcPr>
          <w:p w14:paraId="0E39280B" w14:textId="682A56F7" w:rsidR="000777B4" w:rsidRDefault="000777B4" w:rsidP="0099023F">
            <w:pPr>
              <w:spacing w:before="100" w:beforeAutospacing="1" w:after="100" w:afterAutospacing="1" w:line="276" w:lineRule="auto"/>
              <w:rPr>
                <w:rFonts w:ascii="David" w:hAnsi="David"/>
                <w:sz w:val="24"/>
                <w:rtl/>
              </w:rPr>
            </w:pPr>
            <w:r>
              <w:rPr>
                <w:rFonts w:ascii="David" w:hAnsi="David"/>
                <w:sz w:val="24"/>
                <w:rtl/>
              </w:rPr>
              <w:t>בבלר רפאל</w:t>
            </w:r>
            <w:r>
              <w:br/>
            </w:r>
            <w:r>
              <w:rPr>
                <w:rFonts w:ascii="David" w:hAnsi="David"/>
                <w:sz w:val="24"/>
                <w:rtl/>
              </w:rPr>
              <w:t>השריג 5, ראשון לציון</w:t>
            </w:r>
            <w:r>
              <w:br/>
            </w:r>
          </w:p>
        </w:tc>
      </w:tr>
      <w:tr w:rsidR="000777B4" w14:paraId="79BE2A5C" w14:textId="77777777" w:rsidTr="008B1450">
        <w:trPr>
          <w:cantSplit/>
        </w:trPr>
        <w:tc>
          <w:tcPr>
            <w:tcW w:w="916" w:type="pct"/>
          </w:tcPr>
          <w:p w14:paraId="48E7AE9E"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7B22B31E" w14:textId="77777777" w:rsidR="000777B4" w:rsidRDefault="000777B4" w:rsidP="0099023F">
            <w:pPr>
              <w:spacing w:before="100" w:beforeAutospacing="1" w:after="100" w:afterAutospacing="1"/>
              <w:rPr>
                <w:rFonts w:ascii="David" w:hAnsi="David"/>
                <w:sz w:val="24"/>
              </w:rPr>
            </w:pPr>
          </w:p>
        </w:tc>
        <w:tc>
          <w:tcPr>
            <w:tcW w:w="352" w:type="pct"/>
          </w:tcPr>
          <w:p w14:paraId="7D3E904A" w14:textId="77777777" w:rsidR="000777B4" w:rsidRDefault="000777B4" w:rsidP="0099023F">
            <w:pPr>
              <w:spacing w:before="100" w:beforeAutospacing="1" w:after="100" w:afterAutospacing="1"/>
              <w:rPr>
                <w:rFonts w:ascii="David" w:hAnsi="David"/>
                <w:sz w:val="24"/>
              </w:rPr>
            </w:pPr>
            <w:r>
              <w:rPr>
                <w:rFonts w:ascii="David" w:hAnsi="David"/>
                <w:sz w:val="24"/>
                <w:rtl/>
              </w:rPr>
              <w:t>9</w:t>
            </w:r>
          </w:p>
        </w:tc>
        <w:tc>
          <w:tcPr>
            <w:tcW w:w="2887" w:type="pct"/>
          </w:tcPr>
          <w:p w14:paraId="6432539A" w14:textId="3B5723E3" w:rsidR="000777B4" w:rsidRDefault="000777B4" w:rsidP="0099023F">
            <w:pPr>
              <w:spacing w:before="100" w:beforeAutospacing="1" w:after="100" w:afterAutospacing="1" w:line="276" w:lineRule="auto"/>
              <w:rPr>
                <w:rFonts w:ascii="David" w:hAnsi="David"/>
                <w:sz w:val="24"/>
                <w:rtl/>
              </w:rPr>
            </w:pPr>
            <w:r>
              <w:rPr>
                <w:rFonts w:ascii="David" w:hAnsi="David"/>
                <w:sz w:val="24"/>
                <w:rtl/>
              </w:rPr>
              <w:t>ים יוסף</w:t>
            </w:r>
            <w:r>
              <w:br/>
            </w:r>
            <w:r>
              <w:rPr>
                <w:rFonts w:ascii="David" w:hAnsi="David"/>
                <w:sz w:val="24"/>
                <w:rtl/>
              </w:rPr>
              <w:t>שד מקס ואמפרו שיין 6, רחובות</w:t>
            </w:r>
            <w:r>
              <w:br/>
            </w:r>
          </w:p>
        </w:tc>
      </w:tr>
      <w:tr w:rsidR="000777B4" w14:paraId="4CDAB49F" w14:textId="77777777" w:rsidTr="008B1450">
        <w:trPr>
          <w:cantSplit/>
        </w:trPr>
        <w:tc>
          <w:tcPr>
            <w:tcW w:w="916" w:type="pct"/>
          </w:tcPr>
          <w:p w14:paraId="0F6C0F73"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3F99645A" w14:textId="77777777" w:rsidR="000777B4" w:rsidRDefault="000777B4" w:rsidP="0099023F">
            <w:pPr>
              <w:spacing w:before="100" w:beforeAutospacing="1" w:after="100" w:afterAutospacing="1"/>
              <w:rPr>
                <w:rFonts w:ascii="David" w:hAnsi="David"/>
                <w:sz w:val="24"/>
              </w:rPr>
            </w:pPr>
          </w:p>
        </w:tc>
        <w:tc>
          <w:tcPr>
            <w:tcW w:w="352" w:type="pct"/>
          </w:tcPr>
          <w:p w14:paraId="7AABA5A9" w14:textId="77777777" w:rsidR="000777B4" w:rsidRDefault="000777B4" w:rsidP="0099023F">
            <w:pPr>
              <w:spacing w:before="100" w:beforeAutospacing="1" w:after="100" w:afterAutospacing="1"/>
              <w:rPr>
                <w:rFonts w:ascii="David" w:hAnsi="David"/>
                <w:sz w:val="24"/>
              </w:rPr>
            </w:pPr>
            <w:r>
              <w:rPr>
                <w:rFonts w:ascii="David" w:hAnsi="David"/>
                <w:sz w:val="24"/>
                <w:rtl/>
              </w:rPr>
              <w:t>10</w:t>
            </w:r>
          </w:p>
        </w:tc>
        <w:tc>
          <w:tcPr>
            <w:tcW w:w="2887" w:type="pct"/>
          </w:tcPr>
          <w:p w14:paraId="25FF43D9" w14:textId="1908935C" w:rsidR="000777B4" w:rsidRDefault="000777B4" w:rsidP="0099023F">
            <w:pPr>
              <w:spacing w:before="100" w:beforeAutospacing="1" w:after="100" w:afterAutospacing="1" w:line="276" w:lineRule="auto"/>
              <w:rPr>
                <w:rFonts w:ascii="David" w:hAnsi="David"/>
                <w:sz w:val="24"/>
                <w:rtl/>
              </w:rPr>
            </w:pPr>
            <w:r>
              <w:rPr>
                <w:rFonts w:ascii="David" w:hAnsi="David"/>
                <w:sz w:val="24"/>
                <w:rtl/>
              </w:rPr>
              <w:t>ים עדנה</w:t>
            </w:r>
            <w:r>
              <w:br/>
            </w:r>
            <w:r>
              <w:rPr>
                <w:rFonts w:ascii="David" w:hAnsi="David"/>
                <w:sz w:val="24"/>
                <w:rtl/>
              </w:rPr>
              <w:t>שד מקס ואמפרו שיין 6, רחובות</w:t>
            </w:r>
            <w:r>
              <w:br/>
            </w:r>
          </w:p>
        </w:tc>
      </w:tr>
      <w:tr w:rsidR="000777B4" w14:paraId="40D73671" w14:textId="77777777" w:rsidTr="008B1450">
        <w:trPr>
          <w:cantSplit/>
        </w:trPr>
        <w:tc>
          <w:tcPr>
            <w:tcW w:w="916" w:type="pct"/>
          </w:tcPr>
          <w:p w14:paraId="7D501AF7"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05276275" w14:textId="77777777" w:rsidR="000777B4" w:rsidRDefault="000777B4" w:rsidP="0099023F">
            <w:pPr>
              <w:spacing w:before="100" w:beforeAutospacing="1" w:after="100" w:afterAutospacing="1"/>
              <w:rPr>
                <w:rFonts w:ascii="David" w:hAnsi="David"/>
                <w:sz w:val="24"/>
              </w:rPr>
            </w:pPr>
          </w:p>
        </w:tc>
        <w:tc>
          <w:tcPr>
            <w:tcW w:w="352" w:type="pct"/>
          </w:tcPr>
          <w:p w14:paraId="52F8C532" w14:textId="77777777" w:rsidR="000777B4" w:rsidRDefault="000777B4" w:rsidP="0099023F">
            <w:pPr>
              <w:spacing w:before="100" w:beforeAutospacing="1" w:after="100" w:afterAutospacing="1"/>
              <w:rPr>
                <w:rFonts w:ascii="David" w:hAnsi="David"/>
                <w:sz w:val="24"/>
              </w:rPr>
            </w:pPr>
            <w:r>
              <w:rPr>
                <w:rFonts w:ascii="David" w:hAnsi="David"/>
                <w:sz w:val="24"/>
                <w:rtl/>
              </w:rPr>
              <w:t>11</w:t>
            </w:r>
          </w:p>
        </w:tc>
        <w:tc>
          <w:tcPr>
            <w:tcW w:w="2887" w:type="pct"/>
          </w:tcPr>
          <w:p w14:paraId="2CB1ECD3"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ליאור עזאני בע"מ, ח</w:t>
            </w:r>
            <w:r>
              <w:rPr>
                <w:rFonts w:ascii="David" w:hAnsi="David" w:hint="cs"/>
                <w:sz w:val="24"/>
                <w:rtl/>
              </w:rPr>
              <w:t>.פ</w:t>
            </w:r>
            <w:r w:rsidRPr="00A93832">
              <w:rPr>
                <w:rFonts w:ascii="David" w:hAnsi="David"/>
                <w:sz w:val="24"/>
                <w:rtl/>
              </w:rPr>
              <w:t xml:space="preserve">  </w:t>
            </w:r>
            <w:r>
              <w:rPr>
                <w:rFonts w:ascii="David" w:hAnsi="David"/>
                <w:sz w:val="24"/>
                <w:rtl/>
              </w:rPr>
              <w:t>511636839</w:t>
            </w:r>
            <w:r>
              <w:br/>
            </w:r>
            <w:r>
              <w:rPr>
                <w:rFonts w:ascii="David" w:hAnsi="David"/>
                <w:sz w:val="24"/>
                <w:rtl/>
              </w:rPr>
              <w:t>הכשרת הישוב 5, ראשון לציון</w:t>
            </w:r>
            <w:r>
              <w:br/>
            </w:r>
            <w:r>
              <w:rPr>
                <w:rFonts w:ascii="David" w:hAnsi="David"/>
                <w:sz w:val="24"/>
                <w:rtl/>
              </w:rPr>
              <w:t xml:space="preserve">טל':039527737 </w:t>
            </w:r>
            <w:r>
              <w:br/>
            </w:r>
          </w:p>
        </w:tc>
      </w:tr>
      <w:tr w:rsidR="000777B4" w14:paraId="7530A0F5" w14:textId="77777777" w:rsidTr="008B1450">
        <w:trPr>
          <w:cantSplit/>
        </w:trPr>
        <w:tc>
          <w:tcPr>
            <w:tcW w:w="916" w:type="pct"/>
          </w:tcPr>
          <w:p w14:paraId="1B505416"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73B68AF5" w14:textId="77777777" w:rsidR="000777B4" w:rsidRDefault="000777B4" w:rsidP="0099023F">
            <w:pPr>
              <w:spacing w:before="100" w:beforeAutospacing="1" w:after="100" w:afterAutospacing="1"/>
              <w:rPr>
                <w:rFonts w:ascii="David" w:hAnsi="David"/>
                <w:sz w:val="24"/>
              </w:rPr>
            </w:pPr>
          </w:p>
        </w:tc>
        <w:tc>
          <w:tcPr>
            <w:tcW w:w="352" w:type="pct"/>
          </w:tcPr>
          <w:p w14:paraId="3CFDD755" w14:textId="77777777" w:rsidR="000777B4" w:rsidRDefault="000777B4" w:rsidP="0099023F">
            <w:pPr>
              <w:spacing w:before="100" w:beforeAutospacing="1" w:after="100" w:afterAutospacing="1"/>
              <w:rPr>
                <w:rFonts w:ascii="David" w:hAnsi="David"/>
                <w:sz w:val="24"/>
              </w:rPr>
            </w:pPr>
            <w:r>
              <w:rPr>
                <w:rFonts w:ascii="David" w:hAnsi="David"/>
                <w:sz w:val="24"/>
                <w:rtl/>
              </w:rPr>
              <w:t>12</w:t>
            </w:r>
          </w:p>
        </w:tc>
        <w:tc>
          <w:tcPr>
            <w:tcW w:w="2887" w:type="pct"/>
          </w:tcPr>
          <w:p w14:paraId="713ABB4E" w14:textId="7909E65E" w:rsidR="000777B4" w:rsidRDefault="000777B4" w:rsidP="0099023F">
            <w:pPr>
              <w:spacing w:before="100" w:beforeAutospacing="1" w:after="100" w:afterAutospacing="1" w:line="276" w:lineRule="auto"/>
              <w:rPr>
                <w:rFonts w:ascii="David" w:hAnsi="David"/>
                <w:sz w:val="24"/>
                <w:rtl/>
              </w:rPr>
            </w:pPr>
            <w:r>
              <w:rPr>
                <w:rFonts w:ascii="David" w:hAnsi="David"/>
                <w:sz w:val="24"/>
                <w:rtl/>
              </w:rPr>
              <w:t>סייביץ חנה</w:t>
            </w:r>
            <w:r>
              <w:br/>
            </w:r>
            <w:r>
              <w:rPr>
                <w:rFonts w:ascii="David" w:hAnsi="David"/>
                <w:sz w:val="24"/>
                <w:rtl/>
              </w:rPr>
              <w:t>גבים 1, ראשון לציון</w:t>
            </w:r>
            <w:r>
              <w:br/>
            </w:r>
          </w:p>
        </w:tc>
      </w:tr>
      <w:tr w:rsidR="000777B4" w14:paraId="7A79F5EC" w14:textId="77777777" w:rsidTr="008B1450">
        <w:trPr>
          <w:cantSplit/>
        </w:trPr>
        <w:tc>
          <w:tcPr>
            <w:tcW w:w="916" w:type="pct"/>
          </w:tcPr>
          <w:p w14:paraId="659BE07F"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28004DF7" w14:textId="77777777" w:rsidR="000777B4" w:rsidRDefault="000777B4" w:rsidP="0099023F">
            <w:pPr>
              <w:spacing w:before="100" w:beforeAutospacing="1" w:after="100" w:afterAutospacing="1"/>
              <w:rPr>
                <w:rFonts w:ascii="David" w:hAnsi="David"/>
                <w:sz w:val="24"/>
              </w:rPr>
            </w:pPr>
          </w:p>
        </w:tc>
        <w:tc>
          <w:tcPr>
            <w:tcW w:w="352" w:type="pct"/>
          </w:tcPr>
          <w:p w14:paraId="2EBBD0CD" w14:textId="77777777" w:rsidR="000777B4" w:rsidRDefault="000777B4" w:rsidP="0099023F">
            <w:pPr>
              <w:spacing w:before="100" w:beforeAutospacing="1" w:after="100" w:afterAutospacing="1"/>
              <w:rPr>
                <w:rFonts w:ascii="David" w:hAnsi="David"/>
                <w:sz w:val="24"/>
              </w:rPr>
            </w:pPr>
            <w:r>
              <w:rPr>
                <w:rFonts w:ascii="David" w:hAnsi="David"/>
                <w:sz w:val="24"/>
                <w:rtl/>
              </w:rPr>
              <w:t>13</w:t>
            </w:r>
          </w:p>
        </w:tc>
        <w:tc>
          <w:tcPr>
            <w:tcW w:w="2887" w:type="pct"/>
          </w:tcPr>
          <w:p w14:paraId="76461AAA" w14:textId="0BD79BF6" w:rsidR="000777B4" w:rsidRDefault="000777B4" w:rsidP="0099023F">
            <w:pPr>
              <w:spacing w:before="100" w:beforeAutospacing="1" w:after="100" w:afterAutospacing="1" w:line="276" w:lineRule="auto"/>
              <w:rPr>
                <w:rFonts w:ascii="David" w:hAnsi="David"/>
                <w:sz w:val="24"/>
                <w:rtl/>
              </w:rPr>
            </w:pPr>
            <w:r>
              <w:rPr>
                <w:rFonts w:ascii="David" w:hAnsi="David"/>
                <w:sz w:val="24"/>
                <w:rtl/>
              </w:rPr>
              <w:t>סייביץ שלום</w:t>
            </w:r>
            <w:r>
              <w:br/>
            </w:r>
            <w:r>
              <w:rPr>
                <w:rFonts w:ascii="David" w:hAnsi="David"/>
                <w:sz w:val="24"/>
                <w:rtl/>
              </w:rPr>
              <w:t>גבים 1, ראשון לציון</w:t>
            </w:r>
            <w:r>
              <w:br/>
            </w:r>
          </w:p>
        </w:tc>
      </w:tr>
      <w:tr w:rsidR="000777B4" w14:paraId="41252282" w14:textId="77777777" w:rsidTr="008B1450">
        <w:trPr>
          <w:cantSplit/>
        </w:trPr>
        <w:tc>
          <w:tcPr>
            <w:tcW w:w="916" w:type="pct"/>
          </w:tcPr>
          <w:p w14:paraId="33DC5CD7"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27E2728F" w14:textId="77777777" w:rsidR="000777B4" w:rsidRDefault="000777B4" w:rsidP="0099023F">
            <w:pPr>
              <w:spacing w:before="100" w:beforeAutospacing="1" w:after="100" w:afterAutospacing="1"/>
              <w:rPr>
                <w:rFonts w:ascii="David" w:hAnsi="David"/>
                <w:sz w:val="24"/>
              </w:rPr>
            </w:pPr>
          </w:p>
        </w:tc>
        <w:tc>
          <w:tcPr>
            <w:tcW w:w="352" w:type="pct"/>
          </w:tcPr>
          <w:p w14:paraId="3551923F" w14:textId="77777777" w:rsidR="000777B4" w:rsidRDefault="000777B4" w:rsidP="0099023F">
            <w:pPr>
              <w:spacing w:before="100" w:beforeAutospacing="1" w:after="100" w:afterAutospacing="1"/>
              <w:rPr>
                <w:rFonts w:ascii="David" w:hAnsi="David"/>
                <w:sz w:val="24"/>
              </w:rPr>
            </w:pPr>
            <w:r>
              <w:rPr>
                <w:rFonts w:ascii="David" w:hAnsi="David"/>
                <w:sz w:val="24"/>
                <w:rtl/>
              </w:rPr>
              <w:t>14</w:t>
            </w:r>
          </w:p>
        </w:tc>
        <w:tc>
          <w:tcPr>
            <w:tcW w:w="2887" w:type="pct"/>
          </w:tcPr>
          <w:p w14:paraId="15643A81" w14:textId="6986F0ED" w:rsidR="000777B4" w:rsidRDefault="000777B4" w:rsidP="0099023F">
            <w:pPr>
              <w:spacing w:before="100" w:beforeAutospacing="1" w:after="100" w:afterAutospacing="1" w:line="276" w:lineRule="auto"/>
              <w:rPr>
                <w:rFonts w:ascii="David" w:hAnsi="David"/>
                <w:sz w:val="24"/>
                <w:rtl/>
              </w:rPr>
            </w:pPr>
            <w:r>
              <w:rPr>
                <w:rFonts w:ascii="David" w:hAnsi="David"/>
                <w:sz w:val="24"/>
                <w:rtl/>
              </w:rPr>
              <w:t>רבני אזאטולה</w:t>
            </w:r>
            <w:r>
              <w:br/>
            </w:r>
            <w:r>
              <w:rPr>
                <w:rFonts w:ascii="David" w:hAnsi="David"/>
                <w:sz w:val="24"/>
                <w:rtl/>
              </w:rPr>
              <w:t>הקוסם מלובלין 4, ראשון לציון</w:t>
            </w:r>
            <w:r>
              <w:br/>
            </w:r>
          </w:p>
        </w:tc>
      </w:tr>
      <w:tr w:rsidR="000777B4" w14:paraId="3DB9B85A" w14:textId="77777777" w:rsidTr="008B1450">
        <w:trPr>
          <w:cantSplit/>
        </w:trPr>
        <w:tc>
          <w:tcPr>
            <w:tcW w:w="916" w:type="pct"/>
          </w:tcPr>
          <w:p w14:paraId="48A99F2E"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2E4C8C44" w14:textId="77777777" w:rsidR="000777B4" w:rsidRDefault="000777B4" w:rsidP="0099023F">
            <w:pPr>
              <w:spacing w:before="100" w:beforeAutospacing="1" w:after="100" w:afterAutospacing="1"/>
              <w:rPr>
                <w:rFonts w:ascii="David" w:hAnsi="David"/>
                <w:sz w:val="24"/>
              </w:rPr>
            </w:pPr>
          </w:p>
        </w:tc>
        <w:tc>
          <w:tcPr>
            <w:tcW w:w="352" w:type="pct"/>
          </w:tcPr>
          <w:p w14:paraId="49ADDD67" w14:textId="77777777" w:rsidR="000777B4" w:rsidRDefault="000777B4" w:rsidP="0099023F">
            <w:pPr>
              <w:spacing w:before="100" w:beforeAutospacing="1" w:after="100" w:afterAutospacing="1"/>
              <w:rPr>
                <w:rFonts w:ascii="David" w:hAnsi="David"/>
                <w:sz w:val="24"/>
              </w:rPr>
            </w:pPr>
            <w:r>
              <w:rPr>
                <w:rFonts w:ascii="David" w:hAnsi="David"/>
                <w:sz w:val="24"/>
                <w:rtl/>
              </w:rPr>
              <w:t>15</w:t>
            </w:r>
          </w:p>
        </w:tc>
        <w:tc>
          <w:tcPr>
            <w:tcW w:w="2887" w:type="pct"/>
          </w:tcPr>
          <w:p w14:paraId="2E1383F2" w14:textId="78D595A7" w:rsidR="000777B4" w:rsidRDefault="000777B4" w:rsidP="0099023F">
            <w:pPr>
              <w:spacing w:before="100" w:beforeAutospacing="1" w:after="100" w:afterAutospacing="1" w:line="276" w:lineRule="auto"/>
              <w:rPr>
                <w:rFonts w:ascii="David" w:hAnsi="David"/>
                <w:sz w:val="24"/>
                <w:rtl/>
              </w:rPr>
            </w:pPr>
            <w:r>
              <w:rPr>
                <w:rFonts w:ascii="David" w:hAnsi="David"/>
                <w:sz w:val="24"/>
                <w:rtl/>
              </w:rPr>
              <w:t>קלבו אברהם</w:t>
            </w:r>
            <w:r>
              <w:br/>
            </w:r>
            <w:r>
              <w:rPr>
                <w:rFonts w:ascii="David" w:hAnsi="David"/>
                <w:sz w:val="24"/>
                <w:rtl/>
              </w:rPr>
              <w:t>קדושי קהיר 7, חולון</w:t>
            </w:r>
            <w:r>
              <w:br/>
            </w:r>
          </w:p>
        </w:tc>
      </w:tr>
      <w:tr w:rsidR="000777B4" w14:paraId="52609330" w14:textId="77777777" w:rsidTr="008B1450">
        <w:trPr>
          <w:cantSplit/>
        </w:trPr>
        <w:tc>
          <w:tcPr>
            <w:tcW w:w="916" w:type="pct"/>
          </w:tcPr>
          <w:p w14:paraId="18E21B95"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3548D029" w14:textId="77777777" w:rsidR="000777B4" w:rsidRDefault="000777B4" w:rsidP="0099023F">
            <w:pPr>
              <w:spacing w:before="100" w:beforeAutospacing="1" w:after="100" w:afterAutospacing="1"/>
              <w:rPr>
                <w:rFonts w:ascii="David" w:hAnsi="David"/>
                <w:sz w:val="24"/>
              </w:rPr>
            </w:pPr>
          </w:p>
        </w:tc>
        <w:tc>
          <w:tcPr>
            <w:tcW w:w="352" w:type="pct"/>
          </w:tcPr>
          <w:p w14:paraId="4566951A" w14:textId="77777777" w:rsidR="000777B4" w:rsidRDefault="000777B4" w:rsidP="0099023F">
            <w:pPr>
              <w:spacing w:before="100" w:beforeAutospacing="1" w:after="100" w:afterAutospacing="1"/>
              <w:rPr>
                <w:rFonts w:ascii="David" w:hAnsi="David"/>
                <w:sz w:val="24"/>
              </w:rPr>
            </w:pPr>
            <w:r>
              <w:rPr>
                <w:rFonts w:ascii="David" w:hAnsi="David"/>
                <w:sz w:val="24"/>
                <w:rtl/>
              </w:rPr>
              <w:t>16</w:t>
            </w:r>
          </w:p>
        </w:tc>
        <w:tc>
          <w:tcPr>
            <w:tcW w:w="2887" w:type="pct"/>
          </w:tcPr>
          <w:p w14:paraId="0B72E8FB" w14:textId="34DB148A" w:rsidR="000777B4" w:rsidRDefault="000777B4" w:rsidP="0099023F">
            <w:pPr>
              <w:spacing w:before="100" w:beforeAutospacing="1" w:after="100" w:afterAutospacing="1" w:line="276" w:lineRule="auto"/>
              <w:rPr>
                <w:rFonts w:ascii="David" w:hAnsi="David"/>
                <w:sz w:val="24"/>
                <w:rtl/>
              </w:rPr>
            </w:pPr>
            <w:r>
              <w:rPr>
                <w:rFonts w:ascii="David" w:hAnsi="David"/>
                <w:sz w:val="24"/>
                <w:rtl/>
              </w:rPr>
              <w:t>בן חור דורון</w:t>
            </w:r>
            <w:r>
              <w:br/>
            </w:r>
            <w:r>
              <w:rPr>
                <w:rFonts w:ascii="David" w:hAnsi="David"/>
                <w:sz w:val="24"/>
                <w:rtl/>
              </w:rPr>
              <w:t>מגדים 4, רמת גן</w:t>
            </w:r>
            <w:r>
              <w:br/>
            </w:r>
          </w:p>
        </w:tc>
      </w:tr>
      <w:tr w:rsidR="000777B4" w14:paraId="179A514B" w14:textId="77777777" w:rsidTr="008B1450">
        <w:trPr>
          <w:cantSplit/>
        </w:trPr>
        <w:tc>
          <w:tcPr>
            <w:tcW w:w="916" w:type="pct"/>
          </w:tcPr>
          <w:p w14:paraId="5DFB8681"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1563FC8D" w14:textId="77777777" w:rsidR="000777B4" w:rsidRDefault="000777B4" w:rsidP="0099023F">
            <w:pPr>
              <w:spacing w:before="100" w:beforeAutospacing="1" w:after="100" w:afterAutospacing="1"/>
              <w:rPr>
                <w:rFonts w:ascii="David" w:hAnsi="David"/>
                <w:sz w:val="24"/>
              </w:rPr>
            </w:pPr>
          </w:p>
        </w:tc>
        <w:tc>
          <w:tcPr>
            <w:tcW w:w="352" w:type="pct"/>
          </w:tcPr>
          <w:p w14:paraId="37DC601A" w14:textId="77777777" w:rsidR="000777B4" w:rsidRDefault="000777B4" w:rsidP="0099023F">
            <w:pPr>
              <w:spacing w:before="100" w:beforeAutospacing="1" w:after="100" w:afterAutospacing="1"/>
              <w:rPr>
                <w:rFonts w:ascii="David" w:hAnsi="David"/>
                <w:sz w:val="24"/>
              </w:rPr>
            </w:pPr>
            <w:r>
              <w:rPr>
                <w:rFonts w:ascii="David" w:hAnsi="David"/>
                <w:sz w:val="24"/>
                <w:rtl/>
              </w:rPr>
              <w:t>17</w:t>
            </w:r>
          </w:p>
        </w:tc>
        <w:tc>
          <w:tcPr>
            <w:tcW w:w="2887" w:type="pct"/>
          </w:tcPr>
          <w:p w14:paraId="1C5F85BC"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נובל מרכז קניות בע"מ, ח</w:t>
            </w:r>
            <w:r>
              <w:rPr>
                <w:rFonts w:ascii="David" w:hAnsi="David" w:hint="cs"/>
                <w:sz w:val="24"/>
                <w:rtl/>
              </w:rPr>
              <w:t>.פ</w:t>
            </w:r>
            <w:r w:rsidRPr="00A93832">
              <w:rPr>
                <w:rFonts w:ascii="David" w:hAnsi="David"/>
                <w:sz w:val="24"/>
                <w:rtl/>
              </w:rPr>
              <w:t xml:space="preserve">  </w:t>
            </w:r>
            <w:r>
              <w:rPr>
                <w:rFonts w:ascii="David" w:hAnsi="David"/>
                <w:sz w:val="24"/>
                <w:rtl/>
              </w:rPr>
              <w:t>513913806</w:t>
            </w:r>
            <w:r>
              <w:br/>
            </w:r>
            <w:r>
              <w:rPr>
                <w:rFonts w:ascii="David" w:hAnsi="David"/>
                <w:sz w:val="24"/>
                <w:rtl/>
              </w:rPr>
              <w:t>בן יהודה 68, תל אביב - יפו</w:t>
            </w:r>
            <w:r>
              <w:br/>
            </w:r>
          </w:p>
        </w:tc>
      </w:tr>
      <w:tr w:rsidR="000777B4" w14:paraId="1CDDF1B5" w14:textId="77777777" w:rsidTr="008B1450">
        <w:trPr>
          <w:cantSplit/>
        </w:trPr>
        <w:tc>
          <w:tcPr>
            <w:tcW w:w="916" w:type="pct"/>
          </w:tcPr>
          <w:p w14:paraId="162D757A"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69008AE1" w14:textId="77777777" w:rsidR="000777B4" w:rsidRDefault="000777B4" w:rsidP="0099023F">
            <w:pPr>
              <w:spacing w:before="100" w:beforeAutospacing="1" w:after="100" w:afterAutospacing="1"/>
              <w:rPr>
                <w:rFonts w:ascii="David" w:hAnsi="David"/>
                <w:sz w:val="24"/>
              </w:rPr>
            </w:pPr>
          </w:p>
        </w:tc>
        <w:tc>
          <w:tcPr>
            <w:tcW w:w="352" w:type="pct"/>
          </w:tcPr>
          <w:p w14:paraId="54DCD778" w14:textId="77777777" w:rsidR="000777B4" w:rsidRDefault="000777B4" w:rsidP="0099023F">
            <w:pPr>
              <w:spacing w:before="100" w:beforeAutospacing="1" w:after="100" w:afterAutospacing="1"/>
              <w:rPr>
                <w:rFonts w:ascii="David" w:hAnsi="David"/>
                <w:sz w:val="24"/>
              </w:rPr>
            </w:pPr>
            <w:r>
              <w:rPr>
                <w:rFonts w:ascii="David" w:hAnsi="David"/>
                <w:sz w:val="24"/>
                <w:rtl/>
              </w:rPr>
              <w:t>18</w:t>
            </w:r>
          </w:p>
        </w:tc>
        <w:tc>
          <w:tcPr>
            <w:tcW w:w="2887" w:type="pct"/>
          </w:tcPr>
          <w:p w14:paraId="3742E87E"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נגר כדורי את דוד חי חברה להשקעות ובנין בע"מ, ח</w:t>
            </w:r>
            <w:r>
              <w:rPr>
                <w:rFonts w:ascii="David" w:hAnsi="David" w:hint="cs"/>
                <w:sz w:val="24"/>
                <w:rtl/>
              </w:rPr>
              <w:t>.פ</w:t>
            </w:r>
            <w:r w:rsidRPr="00A93832">
              <w:rPr>
                <w:rFonts w:ascii="David" w:hAnsi="David"/>
                <w:sz w:val="24"/>
                <w:rtl/>
              </w:rPr>
              <w:t xml:space="preserve"> </w:t>
            </w:r>
            <w:r>
              <w:rPr>
                <w:rFonts w:ascii="David" w:hAnsi="David"/>
                <w:sz w:val="24"/>
                <w:rtl/>
              </w:rPr>
              <w:t>510873839</w:t>
            </w:r>
            <w:r>
              <w:br/>
            </w:r>
            <w:r>
              <w:rPr>
                <w:rFonts w:ascii="David" w:hAnsi="David"/>
                <w:sz w:val="24"/>
                <w:rtl/>
              </w:rPr>
              <w:t>הנחשול 42, ראשון לציון</w:t>
            </w:r>
            <w:r>
              <w:br/>
            </w:r>
          </w:p>
        </w:tc>
      </w:tr>
      <w:tr w:rsidR="000777B4" w14:paraId="5BCA22B6" w14:textId="77777777" w:rsidTr="008B1450">
        <w:trPr>
          <w:cantSplit/>
        </w:trPr>
        <w:tc>
          <w:tcPr>
            <w:tcW w:w="916" w:type="pct"/>
          </w:tcPr>
          <w:p w14:paraId="098E6E9F"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38367047" w14:textId="77777777" w:rsidR="000777B4" w:rsidRDefault="000777B4" w:rsidP="0099023F">
            <w:pPr>
              <w:spacing w:before="100" w:beforeAutospacing="1" w:after="100" w:afterAutospacing="1"/>
              <w:rPr>
                <w:rFonts w:ascii="David" w:hAnsi="David"/>
                <w:sz w:val="24"/>
              </w:rPr>
            </w:pPr>
          </w:p>
        </w:tc>
        <w:tc>
          <w:tcPr>
            <w:tcW w:w="352" w:type="pct"/>
          </w:tcPr>
          <w:p w14:paraId="1B7E1535" w14:textId="77777777" w:rsidR="000777B4" w:rsidRDefault="000777B4" w:rsidP="0099023F">
            <w:pPr>
              <w:spacing w:before="100" w:beforeAutospacing="1" w:after="100" w:afterAutospacing="1"/>
              <w:rPr>
                <w:rFonts w:ascii="David" w:hAnsi="David"/>
                <w:sz w:val="24"/>
              </w:rPr>
            </w:pPr>
            <w:r>
              <w:rPr>
                <w:rFonts w:ascii="David" w:hAnsi="David"/>
                <w:sz w:val="24"/>
                <w:rtl/>
              </w:rPr>
              <w:t>19</w:t>
            </w:r>
          </w:p>
        </w:tc>
        <w:tc>
          <w:tcPr>
            <w:tcW w:w="2887" w:type="pct"/>
          </w:tcPr>
          <w:p w14:paraId="4F005BAF"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 xml:space="preserve">רשות מקרקעי ישראל </w:t>
            </w:r>
            <w:r>
              <w:br/>
            </w:r>
            <w:r>
              <w:rPr>
                <w:rFonts w:ascii="David" w:hAnsi="David"/>
                <w:sz w:val="24"/>
                <w:rtl/>
              </w:rPr>
              <w:t>דרך בגין 125, תל אביב - יפו</w:t>
            </w:r>
            <w:r>
              <w:br/>
            </w:r>
          </w:p>
        </w:tc>
      </w:tr>
      <w:tr w:rsidR="000777B4" w14:paraId="26AF1EA8" w14:textId="77777777" w:rsidTr="008B1450">
        <w:trPr>
          <w:cantSplit/>
        </w:trPr>
        <w:tc>
          <w:tcPr>
            <w:tcW w:w="916" w:type="pct"/>
          </w:tcPr>
          <w:p w14:paraId="74A28DA9"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1B217BAA" w14:textId="77777777" w:rsidR="000777B4" w:rsidRDefault="000777B4" w:rsidP="0099023F">
            <w:pPr>
              <w:spacing w:before="100" w:beforeAutospacing="1" w:after="100" w:afterAutospacing="1"/>
              <w:rPr>
                <w:rFonts w:ascii="David" w:hAnsi="David"/>
                <w:sz w:val="24"/>
              </w:rPr>
            </w:pPr>
          </w:p>
        </w:tc>
        <w:tc>
          <w:tcPr>
            <w:tcW w:w="352" w:type="pct"/>
          </w:tcPr>
          <w:p w14:paraId="6E91F88E" w14:textId="77777777" w:rsidR="000777B4" w:rsidRDefault="000777B4" w:rsidP="0099023F">
            <w:pPr>
              <w:spacing w:before="100" w:beforeAutospacing="1" w:after="100" w:afterAutospacing="1"/>
              <w:rPr>
                <w:rFonts w:ascii="David" w:hAnsi="David"/>
                <w:sz w:val="24"/>
              </w:rPr>
            </w:pPr>
            <w:r>
              <w:rPr>
                <w:rFonts w:ascii="David" w:hAnsi="David"/>
                <w:sz w:val="24"/>
                <w:rtl/>
              </w:rPr>
              <w:t>20</w:t>
            </w:r>
          </w:p>
        </w:tc>
        <w:tc>
          <w:tcPr>
            <w:tcW w:w="2887" w:type="pct"/>
          </w:tcPr>
          <w:p w14:paraId="70F94A95" w14:textId="53AFC920" w:rsidR="000777B4" w:rsidRDefault="000777B4" w:rsidP="0099023F">
            <w:pPr>
              <w:spacing w:before="100" w:beforeAutospacing="1" w:after="100" w:afterAutospacing="1" w:line="276" w:lineRule="auto"/>
              <w:rPr>
                <w:rFonts w:ascii="David" w:hAnsi="David"/>
                <w:sz w:val="24"/>
                <w:rtl/>
              </w:rPr>
            </w:pPr>
            <w:r>
              <w:rPr>
                <w:rFonts w:ascii="David" w:hAnsi="David"/>
                <w:sz w:val="24"/>
                <w:rtl/>
              </w:rPr>
              <w:t>שר מאיר</w:t>
            </w:r>
            <w:r>
              <w:br/>
            </w:r>
            <w:r>
              <w:rPr>
                <w:rFonts w:ascii="David" w:hAnsi="David"/>
                <w:sz w:val="24"/>
                <w:rtl/>
              </w:rPr>
              <w:t>אברבנאל 29, ראשון לציון</w:t>
            </w:r>
            <w:r>
              <w:br/>
            </w:r>
            <w:r>
              <w:rPr>
                <w:rFonts w:ascii="David" w:hAnsi="David"/>
                <w:sz w:val="24"/>
                <w:rtl/>
              </w:rPr>
              <w:t xml:space="preserve">טל':052-796-9796 </w:t>
            </w:r>
            <w:r>
              <w:br/>
            </w:r>
          </w:p>
        </w:tc>
      </w:tr>
      <w:tr w:rsidR="000777B4" w14:paraId="04A3EEA2" w14:textId="77777777" w:rsidTr="008B1450">
        <w:trPr>
          <w:cantSplit/>
        </w:trPr>
        <w:tc>
          <w:tcPr>
            <w:tcW w:w="916" w:type="pct"/>
          </w:tcPr>
          <w:p w14:paraId="2737D57F" w14:textId="77777777" w:rsidR="000777B4" w:rsidRDefault="000777B4" w:rsidP="0099023F">
            <w:pPr>
              <w:spacing w:before="100" w:beforeAutospacing="1" w:after="100" w:afterAutospacing="1" w:line="276" w:lineRule="auto"/>
              <w:rPr>
                <w:rFonts w:ascii="David" w:hAnsi="David"/>
                <w:sz w:val="24"/>
                <w:rtl/>
              </w:rPr>
            </w:pPr>
          </w:p>
        </w:tc>
        <w:tc>
          <w:tcPr>
            <w:tcW w:w="845" w:type="pct"/>
          </w:tcPr>
          <w:p w14:paraId="24062109" w14:textId="77777777" w:rsidR="000777B4" w:rsidRDefault="000777B4" w:rsidP="0099023F">
            <w:pPr>
              <w:spacing w:before="100" w:beforeAutospacing="1" w:after="100" w:afterAutospacing="1"/>
              <w:rPr>
                <w:rFonts w:ascii="David" w:hAnsi="David"/>
                <w:sz w:val="24"/>
              </w:rPr>
            </w:pPr>
          </w:p>
        </w:tc>
        <w:tc>
          <w:tcPr>
            <w:tcW w:w="352" w:type="pct"/>
          </w:tcPr>
          <w:p w14:paraId="1A2E1D14" w14:textId="77777777" w:rsidR="000777B4" w:rsidRDefault="000777B4" w:rsidP="0099023F">
            <w:pPr>
              <w:spacing w:before="100" w:beforeAutospacing="1" w:after="100" w:afterAutospacing="1"/>
              <w:rPr>
                <w:rFonts w:ascii="David" w:hAnsi="David"/>
                <w:sz w:val="24"/>
              </w:rPr>
            </w:pPr>
            <w:r>
              <w:rPr>
                <w:rFonts w:ascii="David" w:hAnsi="David"/>
                <w:sz w:val="24"/>
                <w:rtl/>
              </w:rPr>
              <w:t>21</w:t>
            </w:r>
          </w:p>
        </w:tc>
        <w:tc>
          <w:tcPr>
            <w:tcW w:w="2887" w:type="pct"/>
          </w:tcPr>
          <w:p w14:paraId="761E54B1" w14:textId="77777777" w:rsidR="000777B4" w:rsidRDefault="000777B4" w:rsidP="0099023F">
            <w:pPr>
              <w:spacing w:before="100" w:beforeAutospacing="1" w:after="100" w:afterAutospacing="1" w:line="276" w:lineRule="auto"/>
              <w:rPr>
                <w:rFonts w:ascii="David" w:hAnsi="David"/>
                <w:sz w:val="24"/>
                <w:rtl/>
              </w:rPr>
            </w:pPr>
            <w:r>
              <w:rPr>
                <w:rFonts w:ascii="David" w:hAnsi="David"/>
                <w:sz w:val="24"/>
                <w:rtl/>
              </w:rPr>
              <w:t>יוסי חי</w:t>
            </w:r>
            <w:r>
              <w:br/>
            </w:r>
            <w:r>
              <w:rPr>
                <w:rFonts w:ascii="David" w:hAnsi="David"/>
                <w:sz w:val="24"/>
                <w:rtl/>
              </w:rPr>
              <w:t>יואב 16, תל אביב - יפו</w:t>
            </w:r>
            <w:r>
              <w:br/>
            </w:r>
            <w:r>
              <w:rPr>
                <w:rFonts w:ascii="David" w:hAnsi="David"/>
                <w:sz w:val="24"/>
                <w:rtl/>
              </w:rPr>
              <w:t xml:space="preserve">טל':050-666-9944 </w:t>
            </w:r>
            <w:r>
              <w:br/>
            </w:r>
          </w:p>
        </w:tc>
      </w:tr>
    </w:tbl>
    <w:p w14:paraId="200678B9" w14:textId="77777777" w:rsidR="000777B4" w:rsidRPr="008A7D76" w:rsidRDefault="000777B4" w:rsidP="007D6E86">
      <w:pPr>
        <w:spacing w:before="100" w:beforeAutospacing="1" w:after="240" w:line="360" w:lineRule="auto"/>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335209B4"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לפניי תביעה אשר הסעד שמבוקש בה הוא להורות על תיקון התקנון הרשום של הבית המשותף. </w:t>
      </w:r>
    </w:p>
    <w:p w14:paraId="6D4B1694"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lastRenderedPageBreak/>
        <w:t>בכתב התביעה נטען כי הצדדים לה הם בעלי זכויות במרכז המסחרי אשר מכונה "פרס נובל", שכתובתו רחוב שמעון פרס 33, ראשון לציון, ואשר מצוי במקרקעין שידועים כגוש 5097 חלקה 95 (להלן: "</w:t>
      </w:r>
      <w:r>
        <w:rPr>
          <w:rFonts w:hint="cs"/>
          <w:b/>
          <w:bCs/>
          <w:rtl/>
        </w:rPr>
        <w:t>הבית המשותף</w:t>
      </w:r>
      <w:r>
        <w:rPr>
          <w:rFonts w:hint="cs"/>
          <w:rtl/>
        </w:rPr>
        <w:t>"). המקרקעין נרשמו בפנקס הבתים המשותפים. לטענת התובעת היא בעלת הזכויות בתת חלקה 33 בבית המשותף.</w:t>
      </w:r>
    </w:p>
    <w:p w14:paraId="74AE23F3"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ביום </w:t>
      </w:r>
      <w:r w:rsidRPr="00A93832">
        <w:rPr>
          <w:rFonts w:hint="cs"/>
          <w:rtl/>
        </w:rPr>
        <w:t>23.9.2024</w:t>
      </w:r>
      <w:r>
        <w:rPr>
          <w:rFonts w:hint="cs"/>
          <w:rtl/>
        </w:rPr>
        <w:t xml:space="preserve"> הגישה התובעת את כתב התביעה, ובו טענה כי ביום 24.1.2024 נרשם תקנון בית משותף שלא כדין. בתמצית, לטענת התובעת השינויים שנערכו בתקנון שנרשם מצריכים את הסכמת כל בעלי הדירות בבית המשותף, וזאת בהתאם להוראות חוק המקרקעין, התשכ"ט-1969 (להלן: "</w:t>
      </w:r>
      <w:r>
        <w:rPr>
          <w:rFonts w:hint="cs"/>
          <w:b/>
          <w:bCs/>
          <w:rtl/>
        </w:rPr>
        <w:t>חוק המקרקעין</w:t>
      </w:r>
      <w:r>
        <w:rPr>
          <w:rFonts w:hint="cs"/>
          <w:rtl/>
        </w:rPr>
        <w:t>"). אולם נטען כי התובעת, ולמיטב ידיעתה גם בעלי דירות נוספים בבית המשותף, לא הסכימו לאותם שינויים.</w:t>
      </w:r>
    </w:p>
    <w:p w14:paraId="57A6089A"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נוכח טענותיה ביקשה התובעת כי אורה על תיקון תקנון הבית המשותף, בדרך של תיקון ההוראות אשר לטענתה  דורשות את הסכמתה. כן ביקשה התובעת כי אתן הוראות נוספות </w:t>
      </w:r>
      <w:r w:rsidRPr="00A93832">
        <w:rPr>
          <w:rtl/>
        </w:rPr>
        <w:t>על בסיס</w:t>
      </w:r>
      <w:r>
        <w:rPr>
          <w:rFonts w:hint="cs"/>
          <w:rtl/>
        </w:rPr>
        <w:t xml:space="preserve"> התקנון כפי שיתוקן, ובהן מינוי נציגות הבית המשותף; מינוי חברת ניהול ואחזקה; והוראות בנוגע לחלקה היחסי של התובעת בהוצאות הרכוש המשותף.</w:t>
      </w:r>
    </w:p>
    <w:p w14:paraId="17A4E85F"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בהחלטתי מיום </w:t>
      </w:r>
      <w:r w:rsidRPr="00A93832">
        <w:rPr>
          <w:rFonts w:hint="cs"/>
          <w:rtl/>
        </w:rPr>
        <w:t>23.9.2024</w:t>
      </w:r>
      <w:r>
        <w:rPr>
          <w:rFonts w:hint="cs"/>
          <w:rtl/>
        </w:rPr>
        <w:t xml:space="preserve"> הוריתי לתובעת להבהיר "מדוע היא סבורה כי למפקח על רישום מקרקעין הסמכות לדון בתובענה, וזאת לאור הסעד העיקרי המבוקש בה </w:t>
      </w:r>
      <w:r>
        <w:rPr>
          <w:rtl/>
        </w:rPr>
        <w:t>–</w:t>
      </w:r>
      <w:r>
        <w:rPr>
          <w:rFonts w:hint="cs"/>
          <w:rtl/>
        </w:rPr>
        <w:t xml:space="preserve"> תיקון התקנון הרשום של הבית המשותף".</w:t>
      </w:r>
    </w:p>
    <w:p w14:paraId="2C73319F"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בהודעתה מיום </w:t>
      </w:r>
      <w:r w:rsidRPr="00A93832">
        <w:rPr>
          <w:rFonts w:hint="cs"/>
          <w:rtl/>
        </w:rPr>
        <w:t>29.9.2024</w:t>
      </w:r>
      <w:r>
        <w:rPr>
          <w:rFonts w:hint="cs"/>
          <w:rtl/>
        </w:rPr>
        <w:t xml:space="preserve"> טענה התובעת כי הסכסוך שלפנינו אינו אלא סכסוך בין בעלי דירות בבית המשותף בנוגע לחובותיהם וזכויותיהם בהתאם לתקנון או בקשר עם הוצאות הרכוש המשותף, כאמור בסעיף 58(א) לחוק המקרקעין. נטען כי בהתאם להוראותיו של סעיף 72(א) לחוק המקרקעין, סכסוך בנוגע לנושאים אלה מצוי בסמכותו הייחודית של המפקח. בנוגע לסעד המבוקש בדמות הוראה לתיקון התקנון הרשום נטען כי "סמכותו של המפקח על הבתים המשותפים (כך במקור </w:t>
      </w:r>
      <w:r>
        <w:rPr>
          <w:rtl/>
        </w:rPr>
        <w:t>–</w:t>
      </w:r>
      <w:r>
        <w:rPr>
          <w:rFonts w:hint="cs"/>
          <w:rtl/>
        </w:rPr>
        <w:t xml:space="preserve"> ב.ל.) לדון בתיקון תקנון נגזרת מהוראות חוק המקרקעין", אשר מסמיכות את המפקח לדון בשאלות אשר נוגעות לתקנון הבית המשותף. כן הפנתה התובעת להוראות סעיף 145 לחוק המקרקעין, אשר מעניק למפקח סמכות להורות על תיקון צו הרישום בפנקס הבתים המשותפים, בכפוף לתנאים האמורים באותו סעיף.</w:t>
      </w:r>
    </w:p>
    <w:p w14:paraId="5A436193" w14:textId="77777777" w:rsidR="000777B4" w:rsidRPr="00D559C6" w:rsidRDefault="000777B4" w:rsidP="007D6E86">
      <w:pPr>
        <w:spacing w:before="100" w:beforeAutospacing="1" w:after="240" w:line="360" w:lineRule="auto"/>
        <w:contextualSpacing w:val="0"/>
        <w:outlineLvl w:val="1"/>
        <w:rPr>
          <w:b/>
          <w:bCs/>
          <w:u w:val="single"/>
        </w:rPr>
      </w:pPr>
      <w:r>
        <w:rPr>
          <w:rFonts w:hint="cs"/>
          <w:b/>
          <w:bCs/>
          <w:u w:val="single"/>
          <w:rtl/>
        </w:rPr>
        <w:t>דיון והכרעה</w:t>
      </w:r>
    </w:p>
    <w:p w14:paraId="660322CF"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אקדים אחרית לראשית </w:t>
      </w:r>
      <w:r>
        <w:rPr>
          <w:rtl/>
        </w:rPr>
        <w:t>–</w:t>
      </w:r>
      <w:r>
        <w:rPr>
          <w:rFonts w:hint="cs"/>
          <w:rtl/>
        </w:rPr>
        <w:t xml:space="preserve"> לאחר שעיינתי בתביעה ובהודעת התובעת מיום </w:t>
      </w:r>
      <w:r w:rsidRPr="00A93832">
        <w:rPr>
          <w:rFonts w:hint="cs"/>
          <w:rtl/>
        </w:rPr>
        <w:t>29.9.2024</w:t>
      </w:r>
      <w:r>
        <w:rPr>
          <w:rFonts w:hint="cs"/>
          <w:rtl/>
        </w:rPr>
        <w:t xml:space="preserve"> הגעתי למסקנה כי דין התביעה להימחק בשל חוסר סמכות עניינית של המפקח על רישום מקרקעין (להלן: "</w:t>
      </w:r>
      <w:r>
        <w:rPr>
          <w:rFonts w:hint="cs"/>
          <w:b/>
          <w:bCs/>
          <w:rtl/>
        </w:rPr>
        <w:t>המפקח</w:t>
      </w:r>
      <w:r>
        <w:rPr>
          <w:rFonts w:hint="cs"/>
          <w:rtl/>
        </w:rPr>
        <w:t xml:space="preserve">") להעניק לתובעת את הסעד המבוקש בתובענה </w:t>
      </w:r>
      <w:r>
        <w:rPr>
          <w:rtl/>
        </w:rPr>
        <w:t>–</w:t>
      </w:r>
      <w:r>
        <w:rPr>
          <w:rFonts w:hint="cs"/>
          <w:rtl/>
        </w:rPr>
        <w:t xml:space="preserve"> תיקון התקנון הרשום. </w:t>
      </w:r>
    </w:p>
    <w:p w14:paraId="215B5A4F"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lastRenderedPageBreak/>
        <w:t>אפרט את עמדתי.</w:t>
      </w:r>
    </w:p>
    <w:p w14:paraId="48A44CE2"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כידוע </w:t>
      </w:r>
      <w:r w:rsidRPr="00D559C6">
        <w:rPr>
          <w:rtl/>
        </w:rPr>
        <w:t>"המבחן לקביעת הסמכות העניינית הוא "מבחן הסעד" לפיו יש לבחון את הסעד המבוקש במסגרת כתב התביעה. מבחן זה הוא טכני בעיקרו, והוא אומץ בעיקר משיקולי פשטות ויעילו</w:t>
      </w:r>
      <w:r>
        <w:rPr>
          <w:rFonts w:hint="cs"/>
          <w:rtl/>
        </w:rPr>
        <w:t xml:space="preserve">ת" (ראו, מיני רבים: </w:t>
      </w:r>
      <w:r w:rsidRPr="00D559C6">
        <w:rPr>
          <w:rtl/>
        </w:rPr>
        <w:t>רע"א 3723/24 </w:t>
      </w:r>
      <w:r w:rsidRPr="00D559C6">
        <w:rPr>
          <w:b/>
          <w:bCs/>
          <w:rtl/>
        </w:rPr>
        <w:t xml:space="preserve"> יעקב נ' וכטר</w:t>
      </w:r>
      <w:r>
        <w:rPr>
          <w:rFonts w:hint="cs"/>
          <w:rtl/>
        </w:rPr>
        <w:t>, פסקה 10 והאסמכתאות שם</w:t>
      </w:r>
      <w:r w:rsidRPr="00D559C6">
        <w:rPr>
          <w:rtl/>
        </w:rPr>
        <w:t> (</w:t>
      </w:r>
      <w:r>
        <w:rPr>
          <w:rFonts w:hint="cs"/>
          <w:rtl/>
        </w:rPr>
        <w:t xml:space="preserve">נבו </w:t>
      </w:r>
      <w:r w:rsidRPr="00D559C6">
        <w:rPr>
          <w:rtl/>
        </w:rPr>
        <w:t>20.6.2024)</w:t>
      </w:r>
      <w:r>
        <w:rPr>
          <w:rFonts w:hint="cs"/>
          <w:rtl/>
        </w:rPr>
        <w:t xml:space="preserve">). </w:t>
      </w:r>
    </w:p>
    <w:p w14:paraId="62265F2E" w14:textId="7292C90F"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במסגרת התביעה שלפנינו התבקשו ארבעה סעדים: (1) תיקון תקנון הבית המשותף; (2) מינוי נציגות הבית המשותף; (3) מינוי חברת ניהול ואחזקה; (4) כספית </w:t>
      </w:r>
      <w:r>
        <w:rPr>
          <w:rtl/>
        </w:rPr>
        <w:t>–</w:t>
      </w:r>
      <w:r>
        <w:rPr>
          <w:rFonts w:hint="cs"/>
          <w:rtl/>
        </w:rPr>
        <w:t xml:space="preserve"> שיפוי התובעת על הוצאותיה בקשר עם החזקת הרכוש המשותף, מעבר לחלק בו היא חבה. אלא שלמעשה הסעד היחיד שהתבקש אינו אלא הסעד הראשון, כששאר הסעדים למעשה נלווים אליו. זאת, שכן מבוקש כי יתוקן התקנון, וכי אורה על מינוי נציגות וחברת אחזקה, וכן על שיפוי התובעת,  </w:t>
      </w:r>
      <w:r w:rsidRPr="000A3127">
        <w:rPr>
          <w:rFonts w:hint="cs"/>
          <w:b/>
          <w:bCs/>
          <w:rtl/>
        </w:rPr>
        <w:t>בהתאם ל</w:t>
      </w:r>
      <w:r>
        <w:rPr>
          <w:rFonts w:hint="cs"/>
          <w:b/>
          <w:bCs/>
          <w:rtl/>
        </w:rPr>
        <w:t>הוראות ה</w:t>
      </w:r>
      <w:r w:rsidRPr="000A3127">
        <w:rPr>
          <w:rFonts w:hint="cs"/>
          <w:b/>
          <w:bCs/>
          <w:rtl/>
        </w:rPr>
        <w:t>תקנון שיתוקן</w:t>
      </w:r>
      <w:r>
        <w:rPr>
          <w:rFonts w:hint="cs"/>
          <w:rtl/>
        </w:rPr>
        <w:t>. הווה אומר: הסעדים האחרים אינם עומדים על רגליהם באופן עצמאי, כך ש</w:t>
      </w:r>
      <w:r w:rsidRPr="00A93832">
        <w:rPr>
          <w:rtl/>
        </w:rPr>
        <w:t xml:space="preserve">אם </w:t>
      </w:r>
      <w:r>
        <w:rPr>
          <w:rFonts w:hint="cs"/>
          <w:rtl/>
        </w:rPr>
        <w:t xml:space="preserve">יידחה הסעד הראשון, יידחו מאליהם שאר הסעדים. </w:t>
      </w:r>
    </w:p>
    <w:p w14:paraId="751E42D2"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כאמור, שאלת הסמכות העניינית נקבעת בהתאם למבחן הסעד, כשבענייננו הסעד המבוקש הוא תיקון התקנון הרשום. אבחן אפוא את שאלת סמכותו של המפקח לדון בסעד מעין זה.</w:t>
      </w:r>
    </w:p>
    <w:p w14:paraId="24F66DB3"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בנוגע לפרשנות הוראות דין אשר מעניקות סמכות שיפוט ייחודית לערכאה שאינה חלק ממערכת בתי המשפט האזרחיים נקבעו על-ידי כב' השופט </w:t>
      </w:r>
      <w:r>
        <w:rPr>
          <w:rFonts w:hint="cs"/>
          <w:b/>
          <w:bCs/>
          <w:rtl/>
        </w:rPr>
        <w:t xml:space="preserve">צ' זילברטל </w:t>
      </w:r>
      <w:r>
        <w:rPr>
          <w:rFonts w:hint="cs"/>
          <w:rtl/>
        </w:rPr>
        <w:t>הדברים הבאים:</w:t>
      </w:r>
    </w:p>
    <w:p w14:paraId="1CDB25CD" w14:textId="77777777" w:rsidR="000777B4" w:rsidRDefault="000777B4" w:rsidP="000777B4">
      <w:pPr>
        <w:pStyle w:val="ae"/>
        <w:jc w:val="both"/>
        <w:rPr>
          <w:rtl/>
        </w:rPr>
      </w:pPr>
      <w:r w:rsidRPr="003059A4">
        <w:rPr>
          <w:rtl/>
        </w:rPr>
        <w:t>"הלכה היא, כי יש לפרש בדווקנות ובצמצום הוראות חוק המסדירות סמכות ייחודית לרשות שיפוטית שמחוץ למערכת בתי המשפט הרגילים, וכי בהינתן שני פירושים אפשריים, יועדף הפירוש המצמצם את הסמכות ולא המרחיב אותה</w:t>
      </w:r>
      <w:r>
        <w:rPr>
          <w:rFonts w:hint="cs"/>
          <w:rtl/>
        </w:rPr>
        <w:t xml:space="preserve"> [...]. </w:t>
      </w:r>
      <w:r w:rsidRPr="003059A4">
        <w:rPr>
          <w:rtl/>
        </w:rPr>
        <w:t xml:space="preserve">לא למותר יהיה להזכיר בהקשר זה את דבריו של הנשיא שמגר באחת הפרשות: </w:t>
      </w:r>
    </w:p>
    <w:p w14:paraId="1E45DEAD" w14:textId="77777777" w:rsidR="000777B4" w:rsidRDefault="000777B4" w:rsidP="000777B4">
      <w:pPr>
        <w:pStyle w:val="ae"/>
        <w:ind w:left="1440"/>
        <w:jc w:val="both"/>
        <w:rPr>
          <w:rtl/>
        </w:rPr>
      </w:pPr>
      <w:r w:rsidRPr="003059A4">
        <w:rPr>
          <w:rtl/>
        </w:rPr>
        <w:t>"הכלל הגדול הוא, כי לבתי המשפט הרגילים של המדינה מוקנית הסמכות לדון בנושאים המהותיים כחלוקתם על-פי הקווים הכלליים, שהותוו בחוק בתי המשפט, תשי"ז-1957 (כיום בחוק בתי המשפט [נוסח משולב], תשמ"ד</w:t>
      </w:r>
      <w:r w:rsidRPr="003059A4">
        <w:rPr>
          <w:rtl/>
        </w:rPr>
        <w:softHyphen/>
      </w:r>
      <w:r w:rsidRPr="003059A4">
        <w:t>-1984</w:t>
      </w:r>
      <w:r w:rsidRPr="003059A4">
        <w:rPr>
          <w:rtl/>
        </w:rPr>
        <w:t xml:space="preserve">), שקיבלו עתה גם מעמד חוקתי עקיף על-פי חוק-יסוד: השפיטה. משמע, מי שמבקש לשלול סמכותו של בית המשפט הרגיל, צריך להישען על הוראה מפורשת, כי הכלל המנחה הוא, שאין שוללים סמכותו של בית המשפט הרגיל בעניינים שהם בתחומו לפי חוק בתי המשפט [נוסח משולב], אלא אם כן נאמר הדבר מפורשות. הכלל </w:t>
      </w:r>
      <w:r w:rsidRPr="003059A4">
        <w:rPr>
          <w:rtl/>
        </w:rPr>
        <w:lastRenderedPageBreak/>
        <w:t>האמור אינו נושא בתוכו אך ורק סימן היכר של עיקרון פרשני. הוא, מעבר לכך, ביטוי מובהק לשלטון החוק, אשר אחד מביטוייו בכך שאין שוללים סמכותו של בית-משפט כללי ורגיל..." (ע"א 250/83 עומרי נ' זועבי, פ"ד לט(2) 113, 127</w:t>
      </w:r>
      <w:r w:rsidRPr="003059A4">
        <w:t xml:space="preserve"> (1985)</w:t>
      </w:r>
      <w:r w:rsidRPr="003059A4">
        <w:rPr>
          <w:rtl/>
        </w:rPr>
        <w:t xml:space="preserve">). </w:t>
      </w:r>
    </w:p>
    <w:p w14:paraId="797C44F9" w14:textId="77777777" w:rsidR="000777B4" w:rsidRDefault="000777B4" w:rsidP="000777B4">
      <w:pPr>
        <w:pStyle w:val="ae"/>
        <w:jc w:val="both"/>
      </w:pPr>
      <w:r w:rsidRPr="003059A4">
        <w:rPr>
          <w:rtl/>
        </w:rPr>
        <w:t>כאמור לעיל, דברים אלה כוונו כלפי הזהירות שיש לנקוט במתן פירוש מרחיב לסמכויות בתי דין או רשויות שיפוטיות אחרות שמחוץ למערכת בתי המשפט האזרחיים הכלליים. יחד עם זאת, ההיגיון המונח ביסודם נכון במידה רבה גם לעניין פגיעה בסמכות שיפוט של כל בית משפט בעל סמכות כללית "לטובת" בית משפט העוסק בתחום מוגדר (ראו: פרשנות החקיקה, בעמ' 531)</w:t>
      </w:r>
      <w:r w:rsidRPr="003059A4">
        <w:t>."</w:t>
      </w:r>
      <w:r>
        <w:rPr>
          <w:rFonts w:hint="cs"/>
          <w:rtl/>
        </w:rPr>
        <w:t xml:space="preserve"> (ראו: </w:t>
      </w:r>
      <w:r w:rsidRPr="003059A4">
        <w:rPr>
          <w:rtl/>
        </w:rPr>
        <w:t>בע"מ 164/11 </w:t>
      </w:r>
      <w:r w:rsidRPr="003059A4">
        <w:rPr>
          <w:b/>
          <w:bCs/>
          <w:rtl/>
        </w:rPr>
        <w:t>פלונית נ' פלוני</w:t>
      </w:r>
      <w:r>
        <w:rPr>
          <w:rFonts w:hint="cs"/>
          <w:rtl/>
        </w:rPr>
        <w:t>, פסקה 17</w:t>
      </w:r>
      <w:r w:rsidRPr="003059A4">
        <w:rPr>
          <w:rtl/>
        </w:rPr>
        <w:t> (29.4.2012)</w:t>
      </w:r>
      <w:r>
        <w:rPr>
          <w:rFonts w:hint="cs"/>
          <w:rtl/>
        </w:rPr>
        <w:t>)</w:t>
      </w:r>
    </w:p>
    <w:p w14:paraId="2F6EF227" w14:textId="77777777" w:rsidR="000777B4" w:rsidRPr="00A1225B" w:rsidRDefault="000777B4" w:rsidP="000777B4">
      <w:pPr>
        <w:pStyle w:val="ac"/>
        <w:numPr>
          <w:ilvl w:val="0"/>
          <w:numId w:val="15"/>
        </w:numPr>
        <w:spacing w:before="100" w:beforeAutospacing="1" w:after="240" w:line="360" w:lineRule="auto"/>
        <w:contextualSpacing w:val="0"/>
        <w:jc w:val="both"/>
        <w:rPr>
          <w:rtl/>
        </w:rPr>
      </w:pPr>
      <w:r>
        <w:rPr>
          <w:rFonts w:hint="cs"/>
          <w:rtl/>
        </w:rPr>
        <w:t xml:space="preserve">דברים אלה נאמרו לעניין פרשנות הסמכות המוענקת לבתי המשפט לענייני משפחה בחוק בית המשפט לענייני משפחה, התשנ"ה-1995, והם יפים גם לענייננו. הווה אומר: </w:t>
      </w:r>
      <w:r w:rsidRPr="00677295">
        <w:rPr>
          <w:b/>
          <w:bCs/>
          <w:rtl/>
        </w:rPr>
        <w:t xml:space="preserve">עניין שלא נמסר </w:t>
      </w:r>
      <w:r>
        <w:rPr>
          <w:rFonts w:hint="cs"/>
          <w:b/>
          <w:bCs/>
          <w:rtl/>
        </w:rPr>
        <w:t xml:space="preserve">במפורש </w:t>
      </w:r>
      <w:r w:rsidRPr="00677295">
        <w:rPr>
          <w:b/>
          <w:bCs/>
          <w:rtl/>
        </w:rPr>
        <w:t xml:space="preserve">לסמכותו של המפקח, </w:t>
      </w:r>
      <w:r>
        <w:rPr>
          <w:rFonts w:hint="cs"/>
          <w:b/>
          <w:bCs/>
          <w:rtl/>
        </w:rPr>
        <w:t xml:space="preserve">המפקח </w:t>
      </w:r>
      <w:r w:rsidRPr="00677295">
        <w:rPr>
          <w:b/>
          <w:bCs/>
          <w:rtl/>
        </w:rPr>
        <w:t>נעדר סמכות לדון בו</w:t>
      </w:r>
      <w:r>
        <w:rPr>
          <w:rFonts w:hint="cs"/>
          <w:rtl/>
        </w:rPr>
        <w:t>. בעניין זה אציין כי במספר הזדמנויות נקבע שהמפקח נעדר סמכות לדון בנושאים אשר נוגעים לסכסוכים בין בעלי דירות בבית המשותף, במידה ונושאים אלה לא נכללו בהוראות הדין אשר קבעו את גדרי סמכותו של המפקח</w:t>
      </w:r>
      <w:r w:rsidRPr="00A1225B">
        <w:rPr>
          <w:rtl/>
        </w:rPr>
        <w:t xml:space="preserve"> </w:t>
      </w:r>
      <w:r>
        <w:rPr>
          <w:rFonts w:hint="cs"/>
          <w:rtl/>
        </w:rPr>
        <w:t>(</w:t>
      </w:r>
      <w:r w:rsidRPr="00A1225B">
        <w:rPr>
          <w:rtl/>
        </w:rPr>
        <w:t xml:space="preserve">ראו: ד"נ 20/73, </w:t>
      </w:r>
      <w:r w:rsidRPr="003059A4">
        <w:rPr>
          <w:b/>
          <w:bCs/>
          <w:rtl/>
        </w:rPr>
        <w:t>שמע נ' סדובסקי</w:t>
      </w:r>
      <w:r w:rsidRPr="00A1225B">
        <w:rPr>
          <w:rtl/>
        </w:rPr>
        <w:t xml:space="preserve"> פד"י כח (1) 730 (1974); ע"א 664/71 </w:t>
      </w:r>
      <w:r w:rsidRPr="003059A4">
        <w:rPr>
          <w:b/>
          <w:bCs/>
          <w:rtl/>
        </w:rPr>
        <w:t xml:space="preserve">עורקבי נ' נקר </w:t>
      </w:r>
      <w:r w:rsidRPr="00A1225B">
        <w:rPr>
          <w:rtl/>
        </w:rPr>
        <w:t xml:space="preserve">פ"מ ע"ח 130 וכן ע"א 458/69 </w:t>
      </w:r>
      <w:r w:rsidRPr="003059A4">
        <w:rPr>
          <w:b/>
          <w:bCs/>
          <w:rtl/>
        </w:rPr>
        <w:t>שליט נ' גולדברג</w:t>
      </w:r>
      <w:r w:rsidRPr="00A1225B">
        <w:rPr>
          <w:rtl/>
        </w:rPr>
        <w:t xml:space="preserve"> פ"ד כ"ד (1) 231</w:t>
      </w:r>
      <w:r>
        <w:rPr>
          <w:rFonts w:hint="cs"/>
          <w:rtl/>
        </w:rPr>
        <w:t>, 238-237 (1970)</w:t>
      </w:r>
      <w:r w:rsidRPr="00A1225B">
        <w:rPr>
          <w:rtl/>
        </w:rPr>
        <w:t xml:space="preserve">). </w:t>
      </w:r>
    </w:p>
    <w:p w14:paraId="4E4C9902"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סמכויות השיפוט שהוקנו למפקח נקבעו ב</w:t>
      </w:r>
      <w:r w:rsidRPr="00A1225B">
        <w:rPr>
          <w:rtl/>
        </w:rPr>
        <w:t>סעיף 72 לחוק המקרקעין</w:t>
      </w:r>
      <w:r>
        <w:rPr>
          <w:rFonts w:hint="cs"/>
          <w:rtl/>
        </w:rPr>
        <w:t>, אשר קובע כדלקמן:</w:t>
      </w:r>
    </w:p>
    <w:p w14:paraId="6B96CF92" w14:textId="77777777" w:rsidR="000777B4" w:rsidRDefault="000777B4" w:rsidP="000777B4">
      <w:pPr>
        <w:pStyle w:val="ae"/>
        <w:jc w:val="both"/>
      </w:pPr>
      <w:r>
        <w:rPr>
          <w:rFonts w:hint="cs"/>
          <w:rtl/>
        </w:rPr>
        <w:t>"</w:t>
      </w:r>
      <w:r>
        <w:rPr>
          <w:rtl/>
        </w:rPr>
        <w:t>(א)</w:t>
      </w:r>
      <w:r>
        <w:rPr>
          <w:rFonts w:hint="cs"/>
          <w:rtl/>
        </w:rPr>
        <w:t xml:space="preserve"> </w:t>
      </w:r>
      <w:r>
        <w:rPr>
          <w:rtl/>
        </w:rPr>
        <w:t>סכסוך בין בעלי דירות בבית משותף בדבר זכויותיהם או חובותיהם לפי התקנון או לפי סעיפים 58, 59 או 59א עד 59ג ו-59ה עד 59י, לפי סעיף 1א לחוק המקרקעין (החלפת ספק גז המספק גז באמצעות מערכת גז מרכזית), התשנ"א-1991, לפי חוק המקרקעין (חיזוק בתים משותפים מפני רעידות אדמה), התשס"ח-2008 או לפי סעיפים 6נט עד 6סא, 21ב, 21ד ו-27ג לחוק הבזק, התשמ"ב-1982, יכריע בו המפקח.</w:t>
      </w:r>
    </w:p>
    <w:p w14:paraId="13A5F8D2" w14:textId="77777777" w:rsidR="000777B4" w:rsidRDefault="000777B4" w:rsidP="000777B4">
      <w:pPr>
        <w:pStyle w:val="ae"/>
        <w:jc w:val="both"/>
      </w:pPr>
      <w:r>
        <w:rPr>
          <w:rtl/>
        </w:rPr>
        <w:t>(ב)</w:t>
      </w:r>
      <w:r>
        <w:rPr>
          <w:rFonts w:hint="cs"/>
          <w:rtl/>
        </w:rPr>
        <w:t xml:space="preserve"> </w:t>
      </w:r>
      <w:r>
        <w:rPr>
          <w:rtl/>
        </w:rPr>
        <w:t>סכסוך בין בעלי דירות בבית משותף בדבר הסגת גבול מצד בעל דירה לגבי דירה אחרת או לגבי הרכוש המשותף, רשאי התובע להביאו, לפי בחירתו, לפני בית משפט מוסמך או לפני המפקח.</w:t>
      </w:r>
    </w:p>
    <w:p w14:paraId="61474F9A" w14:textId="77777777" w:rsidR="000777B4" w:rsidRDefault="000777B4" w:rsidP="000777B4">
      <w:pPr>
        <w:pStyle w:val="ae"/>
        <w:jc w:val="both"/>
      </w:pPr>
      <w:r>
        <w:rPr>
          <w:rtl/>
        </w:rPr>
        <w:t>(ג)</w:t>
      </w:r>
      <w:r>
        <w:rPr>
          <w:rFonts w:hint="cs"/>
          <w:rtl/>
        </w:rPr>
        <w:t xml:space="preserve"> </w:t>
      </w:r>
      <w:r>
        <w:rPr>
          <w:rtl/>
        </w:rPr>
        <w:t xml:space="preserve">האמור בסעיפים קטנים (א) ו-(ב) יחול גם במקרה שמחזיק הדירה מטעם בעל הדירה או המתחזק הוא צד לסכסוך, ואם היתה דירה מוחכרת בחכירה </w:t>
      </w:r>
      <w:r>
        <w:rPr>
          <w:rtl/>
        </w:rPr>
        <w:lastRenderedPageBreak/>
        <w:t>לדורות או בחכירת משנה לדורות – גם אם צד לסכסוך הוא המחכיר לדורות או מחכיר המשנה לדורות.</w:t>
      </w:r>
      <w:r>
        <w:rPr>
          <w:rFonts w:hint="cs"/>
          <w:rtl/>
        </w:rPr>
        <w:t>"</w:t>
      </w:r>
    </w:p>
    <w:p w14:paraId="07C5B372"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בתמצית אומר כי סעיף זה קובע </w:t>
      </w:r>
      <w:r w:rsidRPr="002C728D">
        <w:rPr>
          <w:rFonts w:hint="cs"/>
          <w:rtl/>
        </w:rPr>
        <w:t xml:space="preserve">שני תנאים </w:t>
      </w:r>
      <w:r w:rsidRPr="002C728D">
        <w:rPr>
          <w:rFonts w:hint="cs"/>
          <w:b/>
          <w:bCs/>
          <w:rtl/>
        </w:rPr>
        <w:t>מצטברים</w:t>
      </w:r>
      <w:r>
        <w:rPr>
          <w:rFonts w:hint="cs"/>
          <w:rtl/>
        </w:rPr>
        <w:t>, אשר</w:t>
      </w:r>
      <w:r w:rsidRPr="002C728D">
        <w:rPr>
          <w:rFonts w:hint="cs"/>
          <w:rtl/>
        </w:rPr>
        <w:t xml:space="preserve"> בהתקיימם </w:t>
      </w:r>
      <w:r>
        <w:rPr>
          <w:rFonts w:hint="cs"/>
          <w:rtl/>
        </w:rPr>
        <w:t>קונה</w:t>
      </w:r>
      <w:r w:rsidRPr="002C728D">
        <w:rPr>
          <w:rFonts w:hint="cs"/>
          <w:rtl/>
        </w:rPr>
        <w:t xml:space="preserve"> המפקח </w:t>
      </w:r>
      <w:r>
        <w:rPr>
          <w:rFonts w:hint="cs"/>
          <w:rtl/>
        </w:rPr>
        <w:t xml:space="preserve">סמכות </w:t>
      </w:r>
      <w:r w:rsidRPr="002C728D">
        <w:rPr>
          <w:rFonts w:hint="cs"/>
          <w:rtl/>
        </w:rPr>
        <w:t xml:space="preserve">לדון בהליך. </w:t>
      </w:r>
      <w:r w:rsidRPr="002C728D">
        <w:rPr>
          <w:b/>
          <w:bCs/>
          <w:rtl/>
        </w:rPr>
        <w:t>התנאי הראשון</w:t>
      </w:r>
      <w:r w:rsidRPr="002C728D">
        <w:rPr>
          <w:rtl/>
        </w:rPr>
        <w:t xml:space="preserve"> – תנאי </w:t>
      </w:r>
      <w:r w:rsidRPr="002C728D">
        <w:rPr>
          <w:rFonts w:hint="cs"/>
          <w:rtl/>
        </w:rPr>
        <w:t>"</w:t>
      </w:r>
      <w:r w:rsidRPr="002C728D">
        <w:rPr>
          <w:rtl/>
        </w:rPr>
        <w:t>מהות הסכסוך</w:t>
      </w:r>
      <w:r w:rsidRPr="002C728D">
        <w:rPr>
          <w:rFonts w:hint="cs"/>
          <w:rtl/>
        </w:rPr>
        <w:t>"</w:t>
      </w:r>
      <w:r w:rsidRPr="002C728D">
        <w:rPr>
          <w:rtl/>
        </w:rPr>
        <w:t xml:space="preserve"> במסגרתו נבחנת השאלה האם עילת התביעה מנויה בהוראת סעיף 72 לחוק המקרקעין. </w:t>
      </w:r>
      <w:r w:rsidRPr="002C728D">
        <w:rPr>
          <w:b/>
          <w:bCs/>
          <w:rtl/>
        </w:rPr>
        <w:t>התנאי השני</w:t>
      </w:r>
      <w:r>
        <w:rPr>
          <w:rFonts w:hint="cs"/>
          <w:rtl/>
        </w:rPr>
        <w:t xml:space="preserve"> </w:t>
      </w:r>
      <w:r>
        <w:rPr>
          <w:rtl/>
        </w:rPr>
        <w:t>–</w:t>
      </w:r>
      <w:r>
        <w:rPr>
          <w:rFonts w:hint="cs"/>
          <w:rtl/>
        </w:rPr>
        <w:t xml:space="preserve"> </w:t>
      </w:r>
      <w:r w:rsidRPr="002C728D">
        <w:rPr>
          <w:rtl/>
        </w:rPr>
        <w:t xml:space="preserve">תנאי </w:t>
      </w:r>
      <w:r w:rsidRPr="002C728D">
        <w:rPr>
          <w:rFonts w:hint="cs"/>
          <w:rtl/>
        </w:rPr>
        <w:t>"</w:t>
      </w:r>
      <w:r w:rsidRPr="002C728D">
        <w:rPr>
          <w:rtl/>
        </w:rPr>
        <w:t>זהות הצדדים</w:t>
      </w:r>
      <w:r w:rsidRPr="002C728D">
        <w:rPr>
          <w:rFonts w:hint="cs"/>
          <w:rtl/>
        </w:rPr>
        <w:t>"</w:t>
      </w:r>
      <w:r w:rsidRPr="002C728D">
        <w:rPr>
          <w:rtl/>
        </w:rPr>
        <w:t xml:space="preserve"> במסגרתו נבחן האם הצדדים לתביעה הם אלה שהמפקח מוסמך להכריע בעניינם (ראו: רע"א 6394/15 </w:t>
      </w:r>
      <w:r w:rsidRPr="002C728D">
        <w:rPr>
          <w:b/>
          <w:bCs/>
          <w:rtl/>
        </w:rPr>
        <w:t>נציגות הבית המשותף קניון לב כרמיאל נ' חנית ניהול קניון כרמיאל בע"מ</w:t>
      </w:r>
      <w:r w:rsidRPr="002C728D">
        <w:rPr>
          <w:rtl/>
        </w:rPr>
        <w:t>, פסקה 20 (17.3.2016)).</w:t>
      </w:r>
    </w:p>
    <w:p w14:paraId="4681D07D"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לצד סמכויות השיפוט של המפקח, אשר נקבעו כאמור בסעיף 72 לחוק המקרקעין, הוקנו למפקח גם </w:t>
      </w:r>
      <w:r w:rsidRPr="007A2E9D">
        <w:rPr>
          <w:rFonts w:hint="cs"/>
          <w:b/>
          <w:bCs/>
          <w:rtl/>
        </w:rPr>
        <w:t>סמכויות מנהליות</w:t>
      </w:r>
      <w:r>
        <w:rPr>
          <w:rFonts w:hint="cs"/>
          <w:rtl/>
        </w:rPr>
        <w:t xml:space="preserve">, אשר </w:t>
      </w:r>
      <w:r w:rsidRPr="00A1225B">
        <w:rPr>
          <w:rFonts w:hint="cs"/>
          <w:rtl/>
        </w:rPr>
        <w:t>מוסדרות ב</w:t>
      </w:r>
      <w:r>
        <w:rPr>
          <w:rFonts w:hint="cs"/>
          <w:rtl/>
        </w:rPr>
        <w:t>הוראות דין אחרות</w:t>
      </w:r>
      <w:r w:rsidRPr="00A1225B">
        <w:rPr>
          <w:rFonts w:hint="cs"/>
          <w:rtl/>
        </w:rPr>
        <w:t xml:space="preserve">. כך למשל, </w:t>
      </w:r>
      <w:r>
        <w:rPr>
          <w:rFonts w:hint="cs"/>
          <w:rtl/>
        </w:rPr>
        <w:t xml:space="preserve">למפקח הוקנו סמכויות מנהליות בנוגע למתן </w:t>
      </w:r>
      <w:r w:rsidRPr="00A1225B">
        <w:rPr>
          <w:rFonts w:hint="cs"/>
          <w:rtl/>
        </w:rPr>
        <w:t>צו לרישום בית משותף (</w:t>
      </w:r>
      <w:r>
        <w:rPr>
          <w:rFonts w:hint="cs"/>
          <w:rtl/>
        </w:rPr>
        <w:t xml:space="preserve">ראו: </w:t>
      </w:r>
      <w:r w:rsidRPr="00A1225B">
        <w:rPr>
          <w:rFonts w:hint="cs"/>
          <w:rtl/>
        </w:rPr>
        <w:t>סעיף 143 לחוק</w:t>
      </w:r>
      <w:r>
        <w:rPr>
          <w:rFonts w:hint="cs"/>
          <w:rtl/>
        </w:rPr>
        <w:t xml:space="preserve"> המקרקעין</w:t>
      </w:r>
      <w:r w:rsidRPr="00A1225B">
        <w:rPr>
          <w:rFonts w:hint="cs"/>
          <w:rtl/>
        </w:rPr>
        <w:t xml:space="preserve">), </w:t>
      </w:r>
      <w:r>
        <w:rPr>
          <w:rFonts w:hint="cs"/>
          <w:rtl/>
        </w:rPr>
        <w:t>ובנוגע ל</w:t>
      </w:r>
      <w:r w:rsidRPr="00A1225B">
        <w:rPr>
          <w:rFonts w:hint="cs"/>
          <w:rtl/>
        </w:rPr>
        <w:t xml:space="preserve">תיקון צו בית משותף </w:t>
      </w:r>
      <w:r>
        <w:rPr>
          <w:rFonts w:hint="cs"/>
          <w:rtl/>
        </w:rPr>
        <w:t xml:space="preserve">וביטולו </w:t>
      </w:r>
      <w:r w:rsidRPr="00A1225B">
        <w:rPr>
          <w:rFonts w:hint="cs"/>
          <w:rtl/>
        </w:rPr>
        <w:t>(</w:t>
      </w:r>
      <w:r>
        <w:rPr>
          <w:rFonts w:hint="cs"/>
          <w:rtl/>
        </w:rPr>
        <w:t xml:space="preserve">ראו: סעיפים 146-145 </w:t>
      </w:r>
      <w:r w:rsidRPr="00A1225B">
        <w:rPr>
          <w:rFonts w:hint="cs"/>
          <w:rtl/>
        </w:rPr>
        <w:t>לחוק</w:t>
      </w:r>
      <w:r>
        <w:rPr>
          <w:rFonts w:hint="cs"/>
          <w:rtl/>
        </w:rPr>
        <w:t xml:space="preserve"> המקרקעין</w:t>
      </w:r>
      <w:r w:rsidRPr="00A1225B">
        <w:rPr>
          <w:rFonts w:hint="cs"/>
          <w:rtl/>
        </w:rPr>
        <w:t xml:space="preserve">). </w:t>
      </w:r>
    </w:p>
    <w:p w14:paraId="7D282E76"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ודוק. </w:t>
      </w:r>
      <w:r w:rsidRPr="007A2E9D">
        <w:rPr>
          <w:rFonts w:hint="cs"/>
          <w:b/>
          <w:bCs/>
          <w:rtl/>
        </w:rPr>
        <w:t>סמכויותיו המנהליות של המפקח אינן חלק מסמכויותיו השיפוטיות</w:t>
      </w:r>
      <w:r w:rsidRPr="007A2E9D">
        <w:rPr>
          <w:rFonts w:hint="cs"/>
          <w:rtl/>
        </w:rPr>
        <w:t>.</w:t>
      </w:r>
      <w:r w:rsidRPr="007A2E9D">
        <w:rPr>
          <w:rFonts w:hint="cs"/>
          <w:b/>
          <w:bCs/>
          <w:rtl/>
        </w:rPr>
        <w:t xml:space="preserve"> </w:t>
      </w:r>
      <w:r>
        <w:rPr>
          <w:rFonts w:hint="cs"/>
          <w:rtl/>
        </w:rPr>
        <w:t>חלוקה זו, בין סמכויותיו השיפוטיות של המפקח לבין סמכויותיו המנהליות אינה טכנית, כי אם מהותית. כך ובין היתר</w:t>
      </w:r>
      <w:r>
        <w:rPr>
          <w:rFonts w:hint="cs"/>
          <w:b/>
          <w:bCs/>
          <w:rtl/>
        </w:rPr>
        <w:t>,</w:t>
      </w:r>
      <w:r w:rsidRPr="007A2E9D">
        <w:rPr>
          <w:rFonts w:hint="cs"/>
          <w:b/>
          <w:bCs/>
          <w:rtl/>
        </w:rPr>
        <w:t xml:space="preserve"> </w:t>
      </w:r>
      <w:r w:rsidRPr="007A2E9D">
        <w:rPr>
          <w:rFonts w:hint="cs"/>
          <w:rtl/>
        </w:rPr>
        <w:t xml:space="preserve">דרך הערעור </w:t>
      </w:r>
      <w:r>
        <w:rPr>
          <w:rFonts w:hint="cs"/>
          <w:rtl/>
        </w:rPr>
        <w:t>על החלטותיו השיפוטיות של המפקח שונה מדרך הערעור על החלטותיו המנהליות של המפקח</w:t>
      </w:r>
      <w:r w:rsidRPr="007A2E9D">
        <w:rPr>
          <w:rFonts w:hint="cs"/>
          <w:rtl/>
        </w:rPr>
        <w:t>.</w:t>
      </w:r>
      <w:r w:rsidRPr="007A2E9D">
        <w:rPr>
          <w:rFonts w:hint="cs"/>
          <w:b/>
          <w:bCs/>
          <w:rtl/>
        </w:rPr>
        <w:t xml:space="preserve"> </w:t>
      </w:r>
      <w:r w:rsidRPr="007A2E9D">
        <w:rPr>
          <w:rFonts w:hint="cs"/>
          <w:rtl/>
        </w:rPr>
        <w:t>בעוד שעל החלטה שיפוטית שהתקבלה בהתאם לסמכויותיו של המפקח על-פי סעיף 72 לחוק, הערעור הוא לבית המשפט המחוזי (</w:t>
      </w:r>
      <w:r>
        <w:rPr>
          <w:rFonts w:hint="cs"/>
          <w:rtl/>
        </w:rPr>
        <w:t xml:space="preserve">ראו: </w:t>
      </w:r>
      <w:r w:rsidRPr="007A2E9D">
        <w:rPr>
          <w:rFonts w:hint="cs"/>
          <w:rtl/>
        </w:rPr>
        <w:t>סעיף 77 לחוק</w:t>
      </w:r>
      <w:r>
        <w:rPr>
          <w:rFonts w:hint="cs"/>
          <w:rtl/>
        </w:rPr>
        <w:t xml:space="preserve"> המקרקעין</w:t>
      </w:r>
      <w:r w:rsidRPr="007A2E9D">
        <w:rPr>
          <w:rFonts w:hint="cs"/>
          <w:rtl/>
        </w:rPr>
        <w:t>), ערר על החלטה מנהלית של המפקח מופנה לממונה על המרשם (</w:t>
      </w:r>
      <w:r>
        <w:rPr>
          <w:rFonts w:hint="cs"/>
          <w:rtl/>
        </w:rPr>
        <w:t xml:space="preserve">ראו: </w:t>
      </w:r>
      <w:r w:rsidRPr="007A2E9D">
        <w:rPr>
          <w:rFonts w:hint="cs"/>
          <w:rtl/>
        </w:rPr>
        <w:t>סעיף 121 לחוק</w:t>
      </w:r>
      <w:r>
        <w:rPr>
          <w:rFonts w:hint="cs"/>
          <w:rtl/>
        </w:rPr>
        <w:t xml:space="preserve"> המקרקעין</w:t>
      </w:r>
      <w:r w:rsidRPr="007A2E9D">
        <w:rPr>
          <w:rFonts w:hint="cs"/>
          <w:rtl/>
        </w:rPr>
        <w:t>)</w:t>
      </w:r>
      <w:r w:rsidRPr="00A1225B">
        <w:rPr>
          <w:rFonts w:hint="cs"/>
          <w:rtl/>
        </w:rPr>
        <w:t xml:space="preserve"> </w:t>
      </w:r>
      <w:r>
        <w:rPr>
          <w:rFonts w:hint="cs"/>
          <w:rtl/>
        </w:rPr>
        <w:t>(</w:t>
      </w:r>
      <w:r w:rsidRPr="00A1225B">
        <w:rPr>
          <w:rFonts w:hint="cs"/>
          <w:rtl/>
        </w:rPr>
        <w:t xml:space="preserve">על ההבחנה בין סמכויותיו השיפוטיות </w:t>
      </w:r>
      <w:r>
        <w:rPr>
          <w:rFonts w:hint="cs"/>
          <w:rtl/>
        </w:rPr>
        <w:t xml:space="preserve">של המפקח </w:t>
      </w:r>
      <w:r w:rsidRPr="00A1225B">
        <w:rPr>
          <w:rFonts w:hint="cs"/>
          <w:rtl/>
        </w:rPr>
        <w:t>לבין סמכויותיו המנהליות, ראו</w:t>
      </w:r>
      <w:r>
        <w:rPr>
          <w:rFonts w:hint="cs"/>
          <w:rtl/>
        </w:rPr>
        <w:t>:</w:t>
      </w:r>
      <w:r w:rsidRPr="00A1225B">
        <w:rPr>
          <w:rFonts w:hint="cs"/>
          <w:rtl/>
        </w:rPr>
        <w:t xml:space="preserve"> עש"א 34256-02-13</w:t>
      </w:r>
      <w:r w:rsidRPr="007A2E9D">
        <w:rPr>
          <w:rFonts w:hint="cs"/>
          <w:b/>
          <w:bCs/>
          <w:rtl/>
        </w:rPr>
        <w:t xml:space="preserve"> זלינגר נ' הממונה על המרשם </w:t>
      </w:r>
      <w:r w:rsidRPr="00A1225B">
        <w:rPr>
          <w:rFonts w:hint="cs"/>
          <w:rtl/>
        </w:rPr>
        <w:t xml:space="preserve">(16.06.13); </w:t>
      </w:r>
      <w:r w:rsidRPr="007A2E9D">
        <w:rPr>
          <w:rFonts w:hint="cs"/>
          <w:color w:val="000000"/>
          <w:rtl/>
        </w:rPr>
        <w:t xml:space="preserve">עש"א (מחוזי ירושלים) 58158-05-19 </w:t>
      </w:r>
      <w:r w:rsidRPr="007A2E9D">
        <w:rPr>
          <w:rFonts w:hint="cs"/>
          <w:b/>
          <w:bCs/>
          <w:color w:val="000000"/>
          <w:rtl/>
        </w:rPr>
        <w:t xml:space="preserve">מוהדב נ' רישרד </w:t>
      </w:r>
      <w:r w:rsidRPr="007A2E9D">
        <w:rPr>
          <w:rFonts w:hint="cs"/>
          <w:color w:val="000000"/>
          <w:rtl/>
        </w:rPr>
        <w:t xml:space="preserve">(3.10.2019) ; </w:t>
      </w:r>
      <w:r w:rsidRPr="007A2E9D">
        <w:rPr>
          <w:color w:val="000000"/>
          <w:rtl/>
        </w:rPr>
        <w:t xml:space="preserve">ע"א 44/72 </w:t>
      </w:r>
      <w:r w:rsidRPr="007A2E9D">
        <w:rPr>
          <w:b/>
          <w:bCs/>
          <w:color w:val="000000"/>
          <w:rtl/>
        </w:rPr>
        <w:t>שם טוב נ' פריבר</w:t>
      </w:r>
      <w:r w:rsidRPr="007A2E9D">
        <w:rPr>
          <w:color w:val="000000"/>
          <w:rtl/>
        </w:rPr>
        <w:t xml:space="preserve">, </w:t>
      </w:r>
      <w:r w:rsidRPr="007A2E9D">
        <w:rPr>
          <w:rFonts w:hint="cs"/>
          <w:color w:val="000000"/>
          <w:rtl/>
        </w:rPr>
        <w:t xml:space="preserve">פ"ד </w:t>
      </w:r>
      <w:r w:rsidRPr="007A2E9D">
        <w:rPr>
          <w:color w:val="000000"/>
          <w:rtl/>
        </w:rPr>
        <w:t>כו(1) 617</w:t>
      </w:r>
      <w:r w:rsidRPr="007A2E9D">
        <w:rPr>
          <w:rFonts w:hint="cs"/>
          <w:color w:val="000000"/>
          <w:rtl/>
        </w:rPr>
        <w:t xml:space="preserve"> (1972)).</w:t>
      </w:r>
    </w:p>
    <w:p w14:paraId="098B6A05" w14:textId="77777777" w:rsidR="000777B4" w:rsidRDefault="000777B4" w:rsidP="000777B4">
      <w:pPr>
        <w:pStyle w:val="ac"/>
        <w:numPr>
          <w:ilvl w:val="0"/>
          <w:numId w:val="15"/>
        </w:numPr>
        <w:spacing w:before="100" w:beforeAutospacing="1" w:after="240" w:line="360" w:lineRule="auto"/>
        <w:contextualSpacing w:val="0"/>
        <w:jc w:val="both"/>
      </w:pPr>
      <w:r w:rsidRPr="00A1225B">
        <w:rPr>
          <w:rFonts w:hint="cs"/>
          <w:rtl/>
        </w:rPr>
        <w:t xml:space="preserve">התובענה </w:t>
      </w:r>
      <w:r>
        <w:rPr>
          <w:rFonts w:hint="cs"/>
          <w:rtl/>
        </w:rPr>
        <w:t xml:space="preserve">שלפניי </w:t>
      </w:r>
      <w:r w:rsidRPr="00A1225B">
        <w:rPr>
          <w:rFonts w:hint="cs"/>
          <w:rtl/>
        </w:rPr>
        <w:t>הוגשה במסגרת הליך שיפוטי</w:t>
      </w:r>
      <w:r>
        <w:rPr>
          <w:rFonts w:hint="cs"/>
          <w:rtl/>
        </w:rPr>
        <w:t>. בהבהרת התובעת בנוגע לסמכותו העניינית של המפקח נטען כי למפקח הסמכות להעניק סעד של תיקון התקנון הרשום של הבית המשותף הן מכוחו של סעיף 72 לחוק המקרקעין, והן מכוחו של סעיף 145 לחוק המקרקעין. בכל הנוגע לסעיף 145 לחוק המקרקעין, הרי שסעיף זה, אינו נוגע לסמכויותיו השיפוטיות של המפקח, אלא לסמכויותיו המנהליות, וממילא הוא אינו מעניק למפקח סמכויות במסגרת הליך שיפוטי.</w:t>
      </w:r>
    </w:p>
    <w:p w14:paraId="446EECC0"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מכאן לטענת התובעת בנוגע לסעיף 72 לחוק המקרקעין. טענת התובעת בעניין זה הינה כדלקמן: סעיף 72 מעניק למפקח סמכות לדון בסכסוכים שנובעים מהתקנון, מכיוון שכך סעיף זה מסמיך את המפקח להעניק סעד בנוגע לתיקונו של התקנון. בכל הכבוד, אני סבור כי טענה זו אינה נכונה. ואסביר את עמדתי. </w:t>
      </w:r>
    </w:p>
    <w:p w14:paraId="6E7D5EA9"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lastRenderedPageBreak/>
        <w:t xml:space="preserve">כמצוטט לעיל, סעיף 72(א) לחוק המקרקעין מעניק למפקח סמכות לדון בטענה לזכות או חובה שנובעת מתקנון הבית המשותף. אכן, במסגרת הליך שדן בחובות וזכויות בעל דירה בבית משותף </w:t>
      </w:r>
      <w:r w:rsidRPr="00A93832">
        <w:rPr>
          <w:rtl/>
        </w:rPr>
        <w:t>אפשר</w:t>
      </w:r>
      <w:r>
        <w:rPr>
          <w:rFonts w:hint="cs"/>
          <w:rtl/>
        </w:rPr>
        <w:t xml:space="preserve"> להעלות טענות אשר נוגעות לעצם תוקפו של התקנון, והמפקח מוסמך להכריע בכך. </w:t>
      </w:r>
      <w:r w:rsidRPr="00765506">
        <w:rPr>
          <w:rFonts w:hint="cs"/>
          <w:b/>
          <w:bCs/>
          <w:rtl/>
        </w:rPr>
        <w:t>אלא שהכרעה בטענת תוקפו של התקנון במקרים אלה אינה מכוחו של סעיף 72(א) לחוק המקרקעין, אלא מכוחו של סעיף 76 לחוק בתי המשפט</w:t>
      </w:r>
      <w:r>
        <w:rPr>
          <w:rFonts w:hint="cs"/>
          <w:rtl/>
        </w:rPr>
        <w:t xml:space="preserve"> [נוסח משולב], התשמ"ד-1984 (להלן: "</w:t>
      </w:r>
      <w:r>
        <w:rPr>
          <w:rFonts w:hint="cs"/>
          <w:b/>
          <w:bCs/>
          <w:rtl/>
        </w:rPr>
        <w:t>חוק בתי המשפט</w:t>
      </w:r>
      <w:r>
        <w:rPr>
          <w:rFonts w:hint="cs"/>
          <w:rtl/>
        </w:rPr>
        <w:t>"), אשר קובע כי "</w:t>
      </w:r>
      <w:r w:rsidRPr="00386311">
        <w:rPr>
          <w:rtl/>
        </w:rPr>
        <w:t>הובא ענין כדין לפני בית משפט והתעוררה בו דרך אגב שאלה שהכרעתה דרושה לבירור הענין, רשאי בית המשפט להכריע בה לצורך אותו ענין אף אם הענין שבשאלה הוא בסמכותו הייחודית של בית משפט אחר או של בית דין אחר</w:t>
      </w:r>
      <w:r w:rsidRPr="00386311">
        <w:t>.</w:t>
      </w:r>
      <w:r>
        <w:rPr>
          <w:rFonts w:hint="cs"/>
          <w:rtl/>
        </w:rPr>
        <w:t>"</w:t>
      </w:r>
    </w:p>
    <w:p w14:paraId="5AA55C39"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למה הדבר דומה? לסמכותו של בית משפט השלום לדון בתביעות לסילוק יד, כאמור בסעיף 51(א)(3) לחוק בתי המשפט, ולסמכותו המקבילה של המפקח, כאמור בסעיף 72(ב) לחוק המקרקעין. אכן, בית משפט השלום והמפקח רשאים להכריע, אגב הכרעתם בתביעה לסילוק יד, בטענה לזכות במקרקעין (ראו: </w:t>
      </w:r>
      <w:r w:rsidRPr="0055680B">
        <w:rPr>
          <w:rtl/>
        </w:rPr>
        <w:t xml:space="preserve">ר"ע 587/83 </w:t>
      </w:r>
      <w:r w:rsidRPr="0055680B">
        <w:rPr>
          <w:b/>
          <w:bCs/>
          <w:rtl/>
        </w:rPr>
        <w:t>ועד הבית ברחוב תנועת המרי 2, קרית אונו נ' ירדני</w:t>
      </w:r>
      <w:r w:rsidRPr="0055680B">
        <w:rPr>
          <w:rtl/>
        </w:rPr>
        <w:t xml:space="preserve">, </w:t>
      </w:r>
      <w:r>
        <w:rPr>
          <w:rFonts w:hint="cs"/>
          <w:rtl/>
        </w:rPr>
        <w:t xml:space="preserve">פ"ד </w:t>
      </w:r>
      <w:r w:rsidRPr="0055680B">
        <w:rPr>
          <w:rtl/>
        </w:rPr>
        <w:t>לח(4) 487</w:t>
      </w:r>
      <w:r>
        <w:rPr>
          <w:rFonts w:hint="cs"/>
          <w:rtl/>
        </w:rPr>
        <w:t xml:space="preserve">, 496 (1984)), </w:t>
      </w:r>
      <w:r w:rsidRPr="00A6026D">
        <w:rPr>
          <w:rFonts w:hint="cs"/>
          <w:b/>
          <w:bCs/>
          <w:rtl/>
        </w:rPr>
        <w:t>אלא שסמכות זו אינה מקנה להם סמכות להכריע בשאלת זכות במקרקעין כשלעצמה</w:t>
      </w:r>
      <w:r>
        <w:rPr>
          <w:rFonts w:hint="cs"/>
          <w:rtl/>
        </w:rPr>
        <w:t xml:space="preserve"> (ראו: סעיף 51(א)(3) לחוק בתי המשפט). יתרה מכן, לא רק שהכרעת בית משפט בנושאים שאינם בסמכותו יכולה להיעשות רק אגב הכרעה בנושא שבסמכותו,</w:t>
      </w:r>
      <w:r w:rsidRPr="00A93832">
        <w:rPr>
          <w:rtl/>
        </w:rPr>
        <w:t xml:space="preserve"> </w:t>
      </w:r>
      <w:r>
        <w:rPr>
          <w:rFonts w:hint="cs"/>
          <w:rtl/>
        </w:rPr>
        <w:t xml:space="preserve">הכרעה זו אף אינה יוצרת מעשה בית דין (ראו: </w:t>
      </w:r>
      <w:r w:rsidRPr="00386311">
        <w:rPr>
          <w:rtl/>
        </w:rPr>
        <w:t xml:space="preserve">רע"א 4936/20 </w:t>
      </w:r>
      <w:r w:rsidRPr="00386311">
        <w:rPr>
          <w:b/>
          <w:bCs/>
          <w:rtl/>
        </w:rPr>
        <w:t>עזבון המנוח מוחמד מחמוד סומרין ז"ל נ' הימנותא בע"מ</w:t>
      </w:r>
      <w:r>
        <w:rPr>
          <w:rFonts w:hint="cs"/>
          <w:rtl/>
        </w:rPr>
        <w:t xml:space="preserve">, פסקה 44 לפסק דינה של כב' השופטת </w:t>
      </w:r>
      <w:r w:rsidRPr="00386311">
        <w:rPr>
          <w:rFonts w:hint="cs"/>
          <w:rtl/>
        </w:rPr>
        <w:t>ר' רונן</w:t>
      </w:r>
      <w:r w:rsidRPr="00386311">
        <w:rPr>
          <w:rtl/>
        </w:rPr>
        <w:t xml:space="preserve"> </w:t>
      </w:r>
      <w:r>
        <w:rPr>
          <w:rFonts w:hint="cs"/>
          <w:rtl/>
        </w:rPr>
        <w:t xml:space="preserve">והאסמכתאות שם </w:t>
      </w:r>
      <w:r w:rsidRPr="00386311">
        <w:rPr>
          <w:rtl/>
        </w:rPr>
        <w:t>(3.4.2023)</w:t>
      </w:r>
      <w:r>
        <w:rPr>
          <w:rFonts w:hint="cs"/>
          <w:rtl/>
        </w:rPr>
        <w:t>).</w:t>
      </w:r>
    </w:p>
    <w:p w14:paraId="14CFE707" w14:textId="77777777" w:rsidR="000777B4" w:rsidRDefault="000777B4" w:rsidP="000777B4">
      <w:pPr>
        <w:pStyle w:val="ac"/>
        <w:numPr>
          <w:ilvl w:val="0"/>
          <w:numId w:val="15"/>
        </w:numPr>
        <w:spacing w:before="100" w:beforeAutospacing="1" w:after="240" w:line="360" w:lineRule="auto"/>
        <w:contextualSpacing w:val="0"/>
        <w:jc w:val="both"/>
      </w:pPr>
      <w:r>
        <w:rPr>
          <w:rFonts w:hint="cs"/>
          <w:rtl/>
        </w:rPr>
        <w:t xml:space="preserve">כללם של דברים: הסמכות שהוענקה למפקח לדון ולהכריע בתקנון הבית המשותף, ואגב כך להכריע בשאלת תוקפו של התקנון, אינה מעניקה למפקח סמכות להכריע בשאלת תוקפו של התקנון כסעד עצמאי. </w:t>
      </w:r>
    </w:p>
    <w:p w14:paraId="06DEB5BD" w14:textId="77777777" w:rsidR="000777B4" w:rsidRPr="0079440D" w:rsidRDefault="000777B4" w:rsidP="000777B4">
      <w:pPr>
        <w:pStyle w:val="ac"/>
        <w:numPr>
          <w:ilvl w:val="0"/>
          <w:numId w:val="15"/>
        </w:numPr>
        <w:spacing w:after="120" w:line="360" w:lineRule="auto"/>
        <w:jc w:val="both"/>
        <w:rPr>
          <w:rFonts w:ascii="David" w:hAnsi="David"/>
          <w:b/>
          <w:bCs/>
          <w:sz w:val="24"/>
        </w:rPr>
      </w:pPr>
      <w:r w:rsidRPr="0079440D">
        <w:rPr>
          <w:rFonts w:ascii="David" w:hAnsi="David" w:hint="eastAsia"/>
          <w:sz w:val="24"/>
          <w:rtl/>
        </w:rPr>
        <w:t>לפני</w:t>
      </w:r>
      <w:r w:rsidRPr="0079440D">
        <w:rPr>
          <w:rFonts w:ascii="David" w:hAnsi="David"/>
          <w:sz w:val="24"/>
          <w:rtl/>
        </w:rPr>
        <w:t xml:space="preserve"> </w:t>
      </w:r>
      <w:r w:rsidRPr="0079440D">
        <w:rPr>
          <w:rFonts w:ascii="David" w:hAnsi="David" w:hint="eastAsia"/>
          <w:sz w:val="24"/>
          <w:rtl/>
        </w:rPr>
        <w:t>סיום</w:t>
      </w:r>
      <w:r w:rsidRPr="0079440D">
        <w:rPr>
          <w:rFonts w:ascii="David" w:hAnsi="David"/>
          <w:sz w:val="24"/>
          <w:rtl/>
        </w:rPr>
        <w:t xml:space="preserve"> </w:t>
      </w:r>
      <w:r w:rsidRPr="0079440D">
        <w:rPr>
          <w:rFonts w:ascii="David" w:hAnsi="David" w:hint="eastAsia"/>
          <w:sz w:val="24"/>
          <w:rtl/>
        </w:rPr>
        <w:t>אציין</w:t>
      </w:r>
      <w:r w:rsidRPr="0079440D">
        <w:rPr>
          <w:rFonts w:ascii="David" w:hAnsi="David"/>
          <w:sz w:val="24"/>
          <w:rtl/>
        </w:rPr>
        <w:t xml:space="preserve"> </w:t>
      </w:r>
      <w:r w:rsidRPr="0079440D">
        <w:rPr>
          <w:rFonts w:ascii="David" w:hAnsi="David" w:hint="eastAsia"/>
          <w:sz w:val="24"/>
          <w:rtl/>
        </w:rPr>
        <w:t>כי</w:t>
      </w:r>
      <w:r w:rsidRPr="0079440D">
        <w:rPr>
          <w:rFonts w:ascii="David" w:hAnsi="David"/>
          <w:sz w:val="24"/>
          <w:rtl/>
        </w:rPr>
        <w:t xml:space="preserve"> אני </w:t>
      </w:r>
      <w:r w:rsidRPr="0079440D">
        <w:rPr>
          <w:rFonts w:ascii="David" w:hAnsi="David" w:hint="cs"/>
          <w:sz w:val="24"/>
          <w:rtl/>
        </w:rPr>
        <w:t xml:space="preserve">ער </w:t>
      </w:r>
      <w:r w:rsidRPr="0079440D">
        <w:rPr>
          <w:rFonts w:ascii="David" w:hAnsi="David"/>
          <w:sz w:val="24"/>
          <w:rtl/>
        </w:rPr>
        <w:t>לכך, שכ</w:t>
      </w:r>
      <w:r w:rsidRPr="0079440D">
        <w:rPr>
          <w:rFonts w:ascii="David" w:hAnsi="David" w:hint="eastAsia"/>
          <w:sz w:val="24"/>
          <w:rtl/>
        </w:rPr>
        <w:t>כ</w:t>
      </w:r>
      <w:r w:rsidRPr="0079440D">
        <w:rPr>
          <w:rFonts w:ascii="David" w:hAnsi="David"/>
          <w:sz w:val="24"/>
          <w:rtl/>
        </w:rPr>
        <w:t xml:space="preserve">לל בהיעדר סמכות עניינית יש להעדיף את העברת התביעה לערכאה המוסמכת על פני מחיקתה. אלא </w:t>
      </w:r>
      <w:r w:rsidRPr="0079440D">
        <w:rPr>
          <w:rFonts w:ascii="David" w:hAnsi="David" w:hint="eastAsia"/>
          <w:sz w:val="24"/>
          <w:rtl/>
        </w:rPr>
        <w:t>שאני</w:t>
      </w:r>
      <w:r w:rsidRPr="0079440D">
        <w:rPr>
          <w:rFonts w:ascii="David" w:hAnsi="David"/>
          <w:sz w:val="24"/>
          <w:rtl/>
        </w:rPr>
        <w:t xml:space="preserve"> </w:t>
      </w:r>
      <w:r w:rsidRPr="0079440D">
        <w:rPr>
          <w:rFonts w:ascii="David" w:hAnsi="David" w:hint="eastAsia"/>
          <w:sz w:val="24"/>
          <w:rtl/>
        </w:rPr>
        <w:t>סבור</w:t>
      </w:r>
      <w:r w:rsidRPr="0079440D">
        <w:rPr>
          <w:rFonts w:ascii="David" w:hAnsi="David"/>
          <w:sz w:val="24"/>
          <w:rtl/>
        </w:rPr>
        <w:t xml:space="preserve"> </w:t>
      </w:r>
      <w:r w:rsidRPr="0079440D">
        <w:rPr>
          <w:rFonts w:ascii="David" w:hAnsi="David" w:hint="eastAsia"/>
          <w:sz w:val="24"/>
          <w:rtl/>
        </w:rPr>
        <w:t>ש</w:t>
      </w:r>
      <w:r w:rsidRPr="0079440D">
        <w:rPr>
          <w:rFonts w:ascii="David" w:hAnsi="David"/>
          <w:sz w:val="24"/>
          <w:rtl/>
        </w:rPr>
        <w:t xml:space="preserve">מקרה זה הוא מקרה חריג, בו יש למחוק את התביעה ולא להעבירה לערכאה מוסמכת, </w:t>
      </w:r>
      <w:r w:rsidRPr="0079440D">
        <w:rPr>
          <w:rFonts w:ascii="David" w:hAnsi="David" w:hint="eastAsia"/>
          <w:sz w:val="24"/>
          <w:rtl/>
        </w:rPr>
        <w:t>ועל</w:t>
      </w:r>
      <w:r w:rsidRPr="0079440D">
        <w:rPr>
          <w:rFonts w:ascii="David" w:hAnsi="David"/>
          <w:sz w:val="24"/>
          <w:rtl/>
        </w:rPr>
        <w:t xml:space="preserve"> </w:t>
      </w:r>
      <w:r w:rsidRPr="0079440D">
        <w:rPr>
          <w:rFonts w:ascii="David" w:hAnsi="David" w:hint="eastAsia"/>
          <w:sz w:val="24"/>
          <w:rtl/>
        </w:rPr>
        <w:t>התובע</w:t>
      </w:r>
      <w:r>
        <w:rPr>
          <w:rFonts w:ascii="David" w:hAnsi="David" w:hint="cs"/>
          <w:sz w:val="24"/>
          <w:rtl/>
        </w:rPr>
        <w:t>ת</w:t>
      </w:r>
      <w:r w:rsidRPr="0079440D">
        <w:rPr>
          <w:rFonts w:ascii="David" w:hAnsi="David"/>
          <w:sz w:val="24"/>
          <w:rtl/>
        </w:rPr>
        <w:t xml:space="preserve"> </w:t>
      </w:r>
      <w:r w:rsidRPr="0079440D">
        <w:rPr>
          <w:rFonts w:ascii="David" w:hAnsi="David" w:hint="eastAsia"/>
          <w:sz w:val="24"/>
          <w:rtl/>
        </w:rPr>
        <w:t>לשקול</w:t>
      </w:r>
      <w:r w:rsidRPr="0079440D">
        <w:rPr>
          <w:rFonts w:ascii="David" w:hAnsi="David"/>
          <w:sz w:val="24"/>
          <w:rtl/>
        </w:rPr>
        <w:t xml:space="preserve"> </w:t>
      </w:r>
      <w:r w:rsidRPr="0079440D">
        <w:rPr>
          <w:rFonts w:ascii="David" w:hAnsi="David" w:hint="eastAsia"/>
          <w:sz w:val="24"/>
          <w:rtl/>
        </w:rPr>
        <w:t>היטב</w:t>
      </w:r>
      <w:r w:rsidRPr="0079440D">
        <w:rPr>
          <w:rFonts w:ascii="David" w:hAnsi="David"/>
          <w:sz w:val="24"/>
          <w:rtl/>
        </w:rPr>
        <w:t xml:space="preserve"> </w:t>
      </w:r>
      <w:r w:rsidRPr="0079440D">
        <w:rPr>
          <w:rFonts w:ascii="David" w:hAnsi="David" w:hint="eastAsia"/>
          <w:sz w:val="24"/>
          <w:rtl/>
        </w:rPr>
        <w:t>לאיזו</w:t>
      </w:r>
      <w:r w:rsidRPr="0079440D">
        <w:rPr>
          <w:rFonts w:ascii="David" w:hAnsi="David"/>
          <w:sz w:val="24"/>
          <w:rtl/>
        </w:rPr>
        <w:t xml:space="preserve"> </w:t>
      </w:r>
      <w:r w:rsidRPr="0079440D">
        <w:rPr>
          <w:rFonts w:ascii="David" w:hAnsi="David" w:hint="eastAsia"/>
          <w:sz w:val="24"/>
          <w:rtl/>
        </w:rPr>
        <w:t>ערכאה</w:t>
      </w:r>
      <w:r w:rsidRPr="0079440D">
        <w:rPr>
          <w:rFonts w:ascii="David" w:hAnsi="David"/>
          <w:sz w:val="24"/>
          <w:rtl/>
        </w:rPr>
        <w:t xml:space="preserve"> </w:t>
      </w:r>
      <w:r w:rsidRPr="0079440D">
        <w:rPr>
          <w:rFonts w:ascii="David" w:hAnsi="David" w:hint="eastAsia"/>
          <w:sz w:val="24"/>
          <w:rtl/>
        </w:rPr>
        <w:t>עלי</w:t>
      </w:r>
      <w:r>
        <w:rPr>
          <w:rFonts w:ascii="David" w:hAnsi="David" w:hint="cs"/>
          <w:sz w:val="24"/>
          <w:rtl/>
        </w:rPr>
        <w:t>ה</w:t>
      </w:r>
      <w:r w:rsidRPr="0079440D">
        <w:rPr>
          <w:rFonts w:ascii="David" w:hAnsi="David"/>
          <w:sz w:val="24"/>
          <w:rtl/>
        </w:rPr>
        <w:t xml:space="preserve"> </w:t>
      </w:r>
      <w:r w:rsidRPr="0079440D">
        <w:rPr>
          <w:rFonts w:ascii="David" w:hAnsi="David" w:hint="eastAsia"/>
          <w:sz w:val="24"/>
          <w:rtl/>
        </w:rPr>
        <w:t>לפנות</w:t>
      </w:r>
      <w:r w:rsidRPr="0079440D">
        <w:rPr>
          <w:rFonts w:ascii="David" w:hAnsi="David"/>
          <w:sz w:val="24"/>
          <w:rtl/>
        </w:rPr>
        <w:t xml:space="preserve"> </w:t>
      </w:r>
      <w:r w:rsidRPr="0079440D">
        <w:rPr>
          <w:rFonts w:ascii="David" w:hAnsi="David" w:hint="eastAsia"/>
          <w:sz w:val="24"/>
          <w:rtl/>
        </w:rPr>
        <w:t>כדי</w:t>
      </w:r>
      <w:r w:rsidRPr="0079440D">
        <w:rPr>
          <w:rFonts w:ascii="David" w:hAnsi="David"/>
          <w:sz w:val="24"/>
          <w:rtl/>
        </w:rPr>
        <w:t xml:space="preserve"> </w:t>
      </w:r>
      <w:r w:rsidRPr="0079440D">
        <w:rPr>
          <w:rFonts w:ascii="David" w:hAnsi="David" w:hint="eastAsia"/>
          <w:sz w:val="24"/>
          <w:rtl/>
        </w:rPr>
        <w:t>שיתבררו</w:t>
      </w:r>
      <w:r w:rsidRPr="0079440D">
        <w:rPr>
          <w:rFonts w:ascii="David" w:hAnsi="David"/>
          <w:sz w:val="24"/>
          <w:rtl/>
        </w:rPr>
        <w:t xml:space="preserve"> </w:t>
      </w:r>
      <w:r w:rsidRPr="0079440D">
        <w:rPr>
          <w:rFonts w:ascii="David" w:hAnsi="David" w:hint="eastAsia"/>
          <w:sz w:val="24"/>
          <w:rtl/>
        </w:rPr>
        <w:t>טענותי</w:t>
      </w:r>
      <w:r>
        <w:rPr>
          <w:rFonts w:ascii="David" w:hAnsi="David" w:hint="cs"/>
          <w:sz w:val="24"/>
          <w:rtl/>
        </w:rPr>
        <w:t>ה</w:t>
      </w:r>
      <w:r w:rsidRPr="0079440D">
        <w:rPr>
          <w:rFonts w:ascii="David" w:hAnsi="David"/>
          <w:sz w:val="24"/>
          <w:rtl/>
        </w:rPr>
        <w:t xml:space="preserve"> </w:t>
      </w:r>
      <w:r w:rsidRPr="0079440D">
        <w:rPr>
          <w:rFonts w:ascii="David" w:hAnsi="David" w:hint="eastAsia"/>
          <w:sz w:val="24"/>
          <w:rtl/>
        </w:rPr>
        <w:t>מול</w:t>
      </w:r>
      <w:r w:rsidRPr="0079440D">
        <w:rPr>
          <w:rFonts w:ascii="David" w:hAnsi="David"/>
          <w:sz w:val="24"/>
          <w:rtl/>
        </w:rPr>
        <w:t xml:space="preserve"> </w:t>
      </w:r>
      <w:r w:rsidRPr="0079440D">
        <w:rPr>
          <w:rFonts w:ascii="David" w:hAnsi="David" w:hint="eastAsia"/>
          <w:sz w:val="24"/>
          <w:rtl/>
        </w:rPr>
        <w:t>הנתבע</w:t>
      </w:r>
      <w:r>
        <w:rPr>
          <w:rFonts w:ascii="David" w:hAnsi="David" w:hint="cs"/>
          <w:sz w:val="24"/>
          <w:rtl/>
        </w:rPr>
        <w:t>ים</w:t>
      </w:r>
      <w:r w:rsidRPr="0079440D">
        <w:rPr>
          <w:rFonts w:ascii="David" w:hAnsi="David"/>
          <w:sz w:val="24"/>
          <w:rtl/>
        </w:rPr>
        <w:t xml:space="preserve"> </w:t>
      </w:r>
      <w:r w:rsidRPr="0079440D">
        <w:rPr>
          <w:rFonts w:ascii="David" w:hAnsi="David" w:hint="eastAsia"/>
          <w:sz w:val="24"/>
          <w:rtl/>
        </w:rPr>
        <w:t>או</w:t>
      </w:r>
      <w:r w:rsidRPr="0079440D">
        <w:rPr>
          <w:rFonts w:ascii="David" w:hAnsi="David"/>
          <w:sz w:val="24"/>
          <w:rtl/>
        </w:rPr>
        <w:t xml:space="preserve"> </w:t>
      </w:r>
      <w:r w:rsidRPr="0079440D">
        <w:rPr>
          <w:rFonts w:ascii="David" w:hAnsi="David" w:hint="eastAsia"/>
          <w:sz w:val="24"/>
          <w:rtl/>
        </w:rPr>
        <w:t>מול</w:t>
      </w:r>
      <w:r w:rsidRPr="0079440D">
        <w:rPr>
          <w:rFonts w:ascii="David" w:hAnsi="David"/>
          <w:sz w:val="24"/>
          <w:rtl/>
        </w:rPr>
        <w:t xml:space="preserve"> </w:t>
      </w:r>
      <w:r w:rsidRPr="0079440D">
        <w:rPr>
          <w:rFonts w:ascii="David" w:hAnsi="David" w:hint="eastAsia"/>
          <w:sz w:val="24"/>
          <w:rtl/>
        </w:rPr>
        <w:t>הגורמים</w:t>
      </w:r>
      <w:r w:rsidRPr="0079440D">
        <w:rPr>
          <w:rFonts w:ascii="David" w:hAnsi="David"/>
          <w:sz w:val="24"/>
          <w:rtl/>
        </w:rPr>
        <w:t xml:space="preserve"> </w:t>
      </w:r>
      <w:r w:rsidRPr="0079440D">
        <w:rPr>
          <w:rFonts w:ascii="David" w:hAnsi="David" w:hint="eastAsia"/>
          <w:sz w:val="24"/>
          <w:rtl/>
        </w:rPr>
        <w:t>הרלבנטיים</w:t>
      </w:r>
      <w:r w:rsidRPr="0079440D">
        <w:rPr>
          <w:rFonts w:ascii="David" w:hAnsi="David"/>
          <w:sz w:val="24"/>
          <w:rtl/>
        </w:rPr>
        <w:t>.</w:t>
      </w:r>
      <w:r>
        <w:rPr>
          <w:rFonts w:ascii="David" w:hAnsi="David" w:hint="cs"/>
          <w:sz w:val="24"/>
          <w:rtl/>
        </w:rPr>
        <w:t xml:space="preserve"> יפים </w:t>
      </w:r>
      <w:r w:rsidRPr="0079440D">
        <w:rPr>
          <w:rFonts w:ascii="David" w:hAnsi="David"/>
          <w:sz w:val="24"/>
          <w:rtl/>
        </w:rPr>
        <w:t>לעניין זה הדברים שנקבעו ב</w:t>
      </w:r>
      <w:r w:rsidRPr="0079440D">
        <w:rPr>
          <w:rFonts w:ascii="David" w:hAnsi="David"/>
          <w:color w:val="000000"/>
          <w:sz w:val="24"/>
          <w:rtl/>
        </w:rPr>
        <w:t xml:space="preserve">עש"א (מחוזי י-ם) 58158-05-19 </w:t>
      </w:r>
      <w:r w:rsidRPr="0079440D">
        <w:rPr>
          <w:rFonts w:ascii="David" w:hAnsi="David"/>
          <w:b/>
          <w:bCs/>
          <w:color w:val="000000"/>
          <w:sz w:val="24"/>
          <w:rtl/>
        </w:rPr>
        <w:t>סלים נ' רישרד</w:t>
      </w:r>
      <w:r w:rsidRPr="0079440D">
        <w:rPr>
          <w:rFonts w:ascii="David" w:hAnsi="David"/>
          <w:color w:val="000000"/>
          <w:sz w:val="24"/>
          <w:rtl/>
        </w:rPr>
        <w:t>, פסקה 17 (03.10.2019):</w:t>
      </w:r>
      <w:r>
        <w:rPr>
          <w:rFonts w:ascii="David" w:hAnsi="David" w:hint="cs"/>
          <w:color w:val="000000"/>
          <w:sz w:val="24"/>
          <w:rtl/>
        </w:rPr>
        <w:t xml:space="preserve"> </w:t>
      </w:r>
      <w:r w:rsidRPr="0079440D">
        <w:rPr>
          <w:rFonts w:ascii="David" w:hAnsi="David"/>
          <w:color w:val="000000"/>
          <w:sz w:val="24"/>
          <w:rtl/>
        </w:rPr>
        <w:t>"</w:t>
      </w:r>
      <w:r>
        <w:rPr>
          <w:rFonts w:ascii="David" w:hAnsi="David" w:hint="cs"/>
          <w:b/>
          <w:bCs/>
          <w:sz w:val="24"/>
          <w:rtl/>
        </w:rPr>
        <w:t>סעיף 79(א) לחוק בתי המשפט</w:t>
      </w:r>
      <w:r w:rsidRPr="0079440D">
        <w:rPr>
          <w:rFonts w:ascii="David" w:hAnsi="David"/>
          <w:b/>
          <w:bCs/>
          <w:sz w:val="24"/>
        </w:rPr>
        <w:t> </w:t>
      </w:r>
      <w:r w:rsidRPr="0079440D">
        <w:rPr>
          <w:rFonts w:ascii="David" w:hAnsi="David"/>
          <w:b/>
          <w:bCs/>
          <w:sz w:val="24"/>
          <w:rtl/>
        </w:rPr>
        <w:t xml:space="preserve">אינו מחייב את בית המשפט חסר הסמכות להעביר את הדיון לבית המשפט המוסמך, אלא מעניק לו סמכות לעשות כן, לפי שיקול דעתו. כפי שנקבע בפסיקה, ייתכנו מקרים בהם עדיף שבית המשפט יסלק תובענה על הסף עקב חוסר סמכות ולא יורה על העברתה </w:t>
      </w:r>
      <w:r>
        <w:rPr>
          <w:rFonts w:ascii="David" w:hAnsi="David" w:hint="cs"/>
          <w:b/>
          <w:bCs/>
          <w:sz w:val="24"/>
          <w:rtl/>
        </w:rPr>
        <w:t>(עע"מ 6848/10 ארז נ' עיריית גבעתיים (30.5.2012))</w:t>
      </w:r>
      <w:r w:rsidRPr="0079440D">
        <w:rPr>
          <w:rFonts w:ascii="David" w:hAnsi="David"/>
          <w:b/>
          <w:bCs/>
          <w:sz w:val="24"/>
          <w:rtl/>
        </w:rPr>
        <w:t xml:space="preserve">. לאור העולה מכתב התביעה, כי תיקון הצו מתבקש לצורך הכרעה במערכת היחסים הקניינית שבין </w:t>
      </w:r>
      <w:r w:rsidRPr="0079440D">
        <w:rPr>
          <w:rFonts w:ascii="David" w:hAnsi="David"/>
          <w:b/>
          <w:bCs/>
          <w:sz w:val="24"/>
          <w:rtl/>
        </w:rPr>
        <w:lastRenderedPageBreak/>
        <w:t>הצדדים, מקובלת עליי החלטתה של המפקחת הנכבדה לסלק את התביעה על הסף, ולהימנע מלהעבירה לבית המשפט המוסמך או ל"האיר את עיניו" של המערער בדבר הערכאה המוסמכת לדון בתביעה. כפי שקבעה המפקחת, ראוי שהמערער ישקול היטב את העילות הנטענות על ידו ואת הסעדים להם הוא עותר, ויפעל בהתאם לדי</w:t>
      </w:r>
      <w:r>
        <w:rPr>
          <w:rFonts w:ascii="David" w:hAnsi="David" w:hint="cs"/>
          <w:b/>
          <w:bCs/>
          <w:sz w:val="24"/>
          <w:rtl/>
        </w:rPr>
        <w:t>ן</w:t>
      </w:r>
      <w:r w:rsidRPr="0079440D">
        <w:rPr>
          <w:rFonts w:ascii="David" w:hAnsi="David"/>
          <w:b/>
          <w:bCs/>
          <w:sz w:val="24"/>
          <w:rtl/>
        </w:rPr>
        <w:t>"</w:t>
      </w:r>
      <w:r w:rsidRPr="00765506">
        <w:rPr>
          <w:rFonts w:ascii="David" w:hAnsi="David"/>
          <w:sz w:val="24"/>
          <w:rtl/>
        </w:rPr>
        <w:t>.</w:t>
      </w:r>
    </w:p>
    <w:p w14:paraId="28EEBDFF" w14:textId="77777777" w:rsidR="000777B4" w:rsidRDefault="000777B4" w:rsidP="007D6E86">
      <w:pPr>
        <w:spacing w:before="100" w:beforeAutospacing="1" w:after="240" w:line="360" w:lineRule="auto"/>
        <w:contextualSpacing w:val="0"/>
        <w:outlineLvl w:val="1"/>
      </w:pPr>
      <w:r>
        <w:rPr>
          <w:rFonts w:hint="cs"/>
          <w:b/>
          <w:bCs/>
          <w:u w:val="single"/>
          <w:rtl/>
        </w:rPr>
        <w:t>סוף דבר</w:t>
      </w:r>
      <w:r>
        <w:rPr>
          <w:rFonts w:hint="cs"/>
          <w:rtl/>
        </w:rPr>
        <w:t xml:space="preserve"> </w:t>
      </w:r>
    </w:p>
    <w:p w14:paraId="69FBAB2A" w14:textId="77777777" w:rsidR="000777B4" w:rsidRPr="0079440D" w:rsidRDefault="000777B4" w:rsidP="000777B4">
      <w:pPr>
        <w:pStyle w:val="ac"/>
        <w:numPr>
          <w:ilvl w:val="0"/>
          <w:numId w:val="15"/>
        </w:numPr>
        <w:spacing w:before="100" w:beforeAutospacing="1" w:after="240" w:line="360" w:lineRule="auto"/>
        <w:contextualSpacing w:val="0"/>
        <w:jc w:val="both"/>
        <w:rPr>
          <w:sz w:val="24"/>
        </w:rPr>
      </w:pPr>
      <w:r w:rsidRPr="0079440D">
        <w:rPr>
          <w:rFonts w:hint="eastAsia"/>
          <w:sz w:val="24"/>
          <w:rtl/>
        </w:rPr>
        <w:t>אני</w:t>
      </w:r>
      <w:r w:rsidRPr="0079440D">
        <w:rPr>
          <w:sz w:val="24"/>
          <w:rtl/>
        </w:rPr>
        <w:t xml:space="preserve"> </w:t>
      </w:r>
      <w:r w:rsidRPr="0079440D">
        <w:rPr>
          <w:rFonts w:hint="eastAsia"/>
          <w:sz w:val="24"/>
          <w:rtl/>
        </w:rPr>
        <w:t>מורה</w:t>
      </w:r>
      <w:r w:rsidRPr="0079440D">
        <w:rPr>
          <w:sz w:val="24"/>
          <w:rtl/>
        </w:rPr>
        <w:t xml:space="preserve"> </w:t>
      </w:r>
      <w:r w:rsidRPr="0079440D">
        <w:rPr>
          <w:rFonts w:hint="eastAsia"/>
          <w:sz w:val="24"/>
          <w:rtl/>
        </w:rPr>
        <w:t>בזאת</w:t>
      </w:r>
      <w:r w:rsidRPr="0079440D">
        <w:rPr>
          <w:sz w:val="24"/>
          <w:rtl/>
        </w:rPr>
        <w:t xml:space="preserve"> </w:t>
      </w:r>
      <w:r w:rsidRPr="0079440D">
        <w:rPr>
          <w:rFonts w:hint="eastAsia"/>
          <w:sz w:val="24"/>
          <w:rtl/>
        </w:rPr>
        <w:t>על</w:t>
      </w:r>
      <w:r w:rsidRPr="0079440D">
        <w:rPr>
          <w:sz w:val="24"/>
          <w:rtl/>
        </w:rPr>
        <w:t xml:space="preserve"> </w:t>
      </w:r>
      <w:r w:rsidRPr="0079440D">
        <w:rPr>
          <w:rFonts w:hint="eastAsia"/>
          <w:sz w:val="24"/>
          <w:rtl/>
        </w:rPr>
        <w:t>מחיקת</w:t>
      </w:r>
      <w:r w:rsidRPr="0079440D">
        <w:rPr>
          <w:sz w:val="24"/>
          <w:rtl/>
        </w:rPr>
        <w:t xml:space="preserve"> </w:t>
      </w:r>
      <w:r w:rsidRPr="0079440D">
        <w:rPr>
          <w:rFonts w:hint="eastAsia"/>
          <w:sz w:val="24"/>
          <w:rtl/>
        </w:rPr>
        <w:t>התובענה</w:t>
      </w:r>
      <w:r w:rsidRPr="0079440D">
        <w:rPr>
          <w:sz w:val="24"/>
          <w:rtl/>
        </w:rPr>
        <w:t xml:space="preserve">. </w:t>
      </w:r>
      <w:r w:rsidRPr="0079440D">
        <w:rPr>
          <w:rFonts w:hint="eastAsia"/>
          <w:sz w:val="24"/>
          <w:rtl/>
        </w:rPr>
        <w:t>אין</w:t>
      </w:r>
      <w:r w:rsidRPr="0079440D">
        <w:rPr>
          <w:sz w:val="24"/>
          <w:rtl/>
        </w:rPr>
        <w:t xml:space="preserve"> </w:t>
      </w:r>
      <w:r w:rsidRPr="0079440D">
        <w:rPr>
          <w:rFonts w:hint="eastAsia"/>
          <w:sz w:val="24"/>
          <w:rtl/>
        </w:rPr>
        <w:t>במחיקת</w:t>
      </w:r>
      <w:r w:rsidRPr="0079440D">
        <w:rPr>
          <w:sz w:val="24"/>
          <w:rtl/>
        </w:rPr>
        <w:t xml:space="preserve"> </w:t>
      </w:r>
      <w:r w:rsidRPr="0079440D">
        <w:rPr>
          <w:rFonts w:hint="eastAsia"/>
          <w:sz w:val="24"/>
          <w:rtl/>
        </w:rPr>
        <w:t>התובענה</w:t>
      </w:r>
      <w:r w:rsidRPr="0079440D">
        <w:rPr>
          <w:sz w:val="24"/>
          <w:rtl/>
        </w:rPr>
        <w:t xml:space="preserve"> </w:t>
      </w:r>
      <w:r w:rsidRPr="0079440D">
        <w:rPr>
          <w:rFonts w:hint="eastAsia"/>
          <w:sz w:val="24"/>
          <w:rtl/>
        </w:rPr>
        <w:t>כדי</w:t>
      </w:r>
      <w:r w:rsidRPr="0079440D">
        <w:rPr>
          <w:sz w:val="24"/>
          <w:rtl/>
        </w:rPr>
        <w:t xml:space="preserve"> </w:t>
      </w:r>
      <w:r w:rsidRPr="0079440D">
        <w:rPr>
          <w:rFonts w:hint="eastAsia"/>
          <w:sz w:val="24"/>
          <w:rtl/>
        </w:rPr>
        <w:t>לחסום</w:t>
      </w:r>
      <w:r w:rsidRPr="0079440D">
        <w:rPr>
          <w:sz w:val="24"/>
          <w:rtl/>
        </w:rPr>
        <w:t xml:space="preserve"> </w:t>
      </w:r>
      <w:r w:rsidRPr="0079440D">
        <w:rPr>
          <w:rFonts w:hint="eastAsia"/>
          <w:sz w:val="24"/>
          <w:rtl/>
        </w:rPr>
        <w:t>את</w:t>
      </w:r>
      <w:r w:rsidRPr="0079440D">
        <w:rPr>
          <w:sz w:val="24"/>
          <w:rtl/>
        </w:rPr>
        <w:t xml:space="preserve"> </w:t>
      </w:r>
      <w:r w:rsidRPr="0079440D">
        <w:rPr>
          <w:rFonts w:hint="eastAsia"/>
          <w:sz w:val="24"/>
          <w:rtl/>
        </w:rPr>
        <w:t>התובעת</w:t>
      </w:r>
      <w:r w:rsidRPr="0079440D">
        <w:rPr>
          <w:sz w:val="24"/>
          <w:rtl/>
        </w:rPr>
        <w:t xml:space="preserve"> </w:t>
      </w:r>
      <w:r w:rsidRPr="0079440D">
        <w:rPr>
          <w:rFonts w:hint="eastAsia"/>
          <w:sz w:val="24"/>
          <w:rtl/>
        </w:rPr>
        <w:t>מלפעול</w:t>
      </w:r>
      <w:r w:rsidRPr="0079440D">
        <w:rPr>
          <w:sz w:val="24"/>
          <w:rtl/>
        </w:rPr>
        <w:t xml:space="preserve"> </w:t>
      </w:r>
      <w:r w:rsidRPr="0079440D">
        <w:rPr>
          <w:rFonts w:hint="eastAsia"/>
          <w:sz w:val="24"/>
          <w:rtl/>
        </w:rPr>
        <w:t>בהליך</w:t>
      </w:r>
      <w:r w:rsidRPr="0079440D">
        <w:rPr>
          <w:sz w:val="24"/>
          <w:rtl/>
        </w:rPr>
        <w:t xml:space="preserve"> </w:t>
      </w:r>
      <w:r w:rsidRPr="0079440D">
        <w:rPr>
          <w:rFonts w:hint="eastAsia"/>
          <w:sz w:val="24"/>
          <w:rtl/>
        </w:rPr>
        <w:t>המתאים</w:t>
      </w:r>
      <w:r w:rsidRPr="0079440D">
        <w:rPr>
          <w:sz w:val="24"/>
          <w:rtl/>
        </w:rPr>
        <w:t xml:space="preserve">, </w:t>
      </w:r>
      <w:r w:rsidRPr="0079440D">
        <w:rPr>
          <w:rFonts w:hint="eastAsia"/>
          <w:sz w:val="24"/>
          <w:rtl/>
        </w:rPr>
        <w:t>תוך</w:t>
      </w:r>
      <w:r w:rsidRPr="0079440D">
        <w:rPr>
          <w:sz w:val="24"/>
          <w:rtl/>
        </w:rPr>
        <w:t xml:space="preserve"> </w:t>
      </w:r>
      <w:r w:rsidRPr="0079440D">
        <w:rPr>
          <w:rFonts w:hint="eastAsia"/>
          <w:sz w:val="24"/>
          <w:rtl/>
        </w:rPr>
        <w:t>ששמורות</w:t>
      </w:r>
      <w:r w:rsidRPr="0079440D">
        <w:rPr>
          <w:sz w:val="24"/>
          <w:rtl/>
        </w:rPr>
        <w:t xml:space="preserve"> </w:t>
      </w:r>
      <w:r w:rsidRPr="0079440D">
        <w:rPr>
          <w:rFonts w:hint="eastAsia"/>
          <w:sz w:val="24"/>
          <w:rtl/>
        </w:rPr>
        <w:t>לה</w:t>
      </w:r>
      <w:r w:rsidRPr="0079440D">
        <w:rPr>
          <w:sz w:val="24"/>
          <w:rtl/>
        </w:rPr>
        <w:t xml:space="preserve"> </w:t>
      </w:r>
      <w:r w:rsidRPr="0079440D">
        <w:rPr>
          <w:rFonts w:hint="eastAsia"/>
          <w:sz w:val="24"/>
          <w:rtl/>
        </w:rPr>
        <w:t>מלוא</w:t>
      </w:r>
      <w:r w:rsidRPr="0079440D">
        <w:rPr>
          <w:sz w:val="24"/>
          <w:rtl/>
        </w:rPr>
        <w:t xml:space="preserve"> </w:t>
      </w:r>
      <w:r w:rsidRPr="0079440D">
        <w:rPr>
          <w:rFonts w:hint="eastAsia"/>
          <w:sz w:val="24"/>
          <w:rtl/>
        </w:rPr>
        <w:t>טענותיה</w:t>
      </w:r>
      <w:r w:rsidRPr="0079440D">
        <w:rPr>
          <w:sz w:val="24"/>
          <w:rtl/>
        </w:rPr>
        <w:t xml:space="preserve"> </w:t>
      </w:r>
      <w:r>
        <w:rPr>
          <w:rFonts w:hint="cs"/>
          <w:sz w:val="24"/>
          <w:rtl/>
        </w:rPr>
        <w:t>בעניין זה</w:t>
      </w:r>
      <w:r w:rsidRPr="0079440D">
        <w:rPr>
          <w:sz w:val="24"/>
          <w:rtl/>
        </w:rPr>
        <w:t>.</w:t>
      </w:r>
    </w:p>
    <w:p w14:paraId="76E247B1" w14:textId="77777777" w:rsidR="000777B4" w:rsidRPr="0079440D" w:rsidRDefault="000777B4" w:rsidP="000777B4">
      <w:pPr>
        <w:pStyle w:val="ac"/>
        <w:numPr>
          <w:ilvl w:val="0"/>
          <w:numId w:val="15"/>
        </w:numPr>
        <w:spacing w:before="100" w:beforeAutospacing="1" w:after="240" w:line="360" w:lineRule="auto"/>
        <w:contextualSpacing w:val="0"/>
        <w:jc w:val="both"/>
        <w:rPr>
          <w:sz w:val="24"/>
        </w:rPr>
      </w:pPr>
      <w:r w:rsidRPr="0079440D">
        <w:rPr>
          <w:rFonts w:hint="eastAsia"/>
          <w:sz w:val="24"/>
          <w:rtl/>
        </w:rPr>
        <w:t>משטרם</w:t>
      </w:r>
      <w:r w:rsidRPr="0079440D">
        <w:rPr>
          <w:sz w:val="24"/>
          <w:rtl/>
        </w:rPr>
        <w:t xml:space="preserve"> </w:t>
      </w:r>
      <w:r w:rsidRPr="0079440D">
        <w:rPr>
          <w:rFonts w:hint="eastAsia"/>
          <w:sz w:val="24"/>
          <w:rtl/>
        </w:rPr>
        <w:t>הוגשו</w:t>
      </w:r>
      <w:r w:rsidRPr="0079440D">
        <w:rPr>
          <w:sz w:val="24"/>
          <w:rtl/>
        </w:rPr>
        <w:t xml:space="preserve"> </w:t>
      </w:r>
      <w:r w:rsidRPr="0079440D">
        <w:rPr>
          <w:rFonts w:hint="eastAsia"/>
          <w:sz w:val="24"/>
          <w:rtl/>
        </w:rPr>
        <w:t>כתבי</w:t>
      </w:r>
      <w:r w:rsidRPr="0079440D">
        <w:rPr>
          <w:sz w:val="24"/>
          <w:rtl/>
        </w:rPr>
        <w:t xml:space="preserve"> </w:t>
      </w:r>
      <w:r w:rsidRPr="0079440D">
        <w:rPr>
          <w:rFonts w:hint="eastAsia"/>
          <w:sz w:val="24"/>
          <w:rtl/>
        </w:rPr>
        <w:t>טענות</w:t>
      </w:r>
      <w:r w:rsidRPr="0079440D">
        <w:rPr>
          <w:sz w:val="24"/>
          <w:rtl/>
        </w:rPr>
        <w:t xml:space="preserve"> </w:t>
      </w:r>
      <w:r w:rsidRPr="0079440D">
        <w:rPr>
          <w:rFonts w:hint="eastAsia"/>
          <w:sz w:val="24"/>
          <w:rtl/>
        </w:rPr>
        <w:t>על</w:t>
      </w:r>
      <w:r w:rsidRPr="0079440D">
        <w:rPr>
          <w:sz w:val="24"/>
          <w:rtl/>
        </w:rPr>
        <w:t xml:space="preserve">-ידי </w:t>
      </w:r>
      <w:r w:rsidRPr="0079440D">
        <w:rPr>
          <w:rFonts w:hint="eastAsia"/>
          <w:sz w:val="24"/>
          <w:rtl/>
        </w:rPr>
        <w:t>הנתבעים</w:t>
      </w:r>
      <w:r w:rsidRPr="0079440D">
        <w:rPr>
          <w:sz w:val="24"/>
          <w:rtl/>
        </w:rPr>
        <w:t xml:space="preserve"> </w:t>
      </w:r>
      <w:r w:rsidRPr="0079440D">
        <w:rPr>
          <w:rFonts w:hint="eastAsia"/>
          <w:sz w:val="24"/>
          <w:rtl/>
        </w:rPr>
        <w:t>בהליך</w:t>
      </w:r>
      <w:r w:rsidRPr="0079440D">
        <w:rPr>
          <w:sz w:val="24"/>
          <w:rtl/>
        </w:rPr>
        <w:t xml:space="preserve">, </w:t>
      </w:r>
      <w:r w:rsidRPr="0079440D">
        <w:rPr>
          <w:rFonts w:hint="eastAsia"/>
          <w:sz w:val="24"/>
          <w:rtl/>
        </w:rPr>
        <w:t>איני</w:t>
      </w:r>
      <w:r w:rsidRPr="0079440D">
        <w:rPr>
          <w:sz w:val="24"/>
          <w:rtl/>
        </w:rPr>
        <w:t xml:space="preserve"> </w:t>
      </w:r>
      <w:r w:rsidRPr="0079440D">
        <w:rPr>
          <w:rFonts w:hint="eastAsia"/>
          <w:sz w:val="24"/>
          <w:rtl/>
        </w:rPr>
        <w:t>עושה</w:t>
      </w:r>
      <w:r w:rsidRPr="0079440D">
        <w:rPr>
          <w:sz w:val="24"/>
          <w:rtl/>
        </w:rPr>
        <w:t xml:space="preserve"> </w:t>
      </w:r>
      <w:r w:rsidRPr="0079440D">
        <w:rPr>
          <w:rFonts w:hint="eastAsia"/>
          <w:sz w:val="24"/>
          <w:rtl/>
        </w:rPr>
        <w:t>צו</w:t>
      </w:r>
      <w:r w:rsidRPr="0079440D">
        <w:rPr>
          <w:sz w:val="24"/>
          <w:rtl/>
        </w:rPr>
        <w:t xml:space="preserve"> </w:t>
      </w:r>
      <w:r w:rsidRPr="0079440D">
        <w:rPr>
          <w:rFonts w:hint="eastAsia"/>
          <w:sz w:val="24"/>
          <w:rtl/>
        </w:rPr>
        <w:t>להוצאות</w:t>
      </w:r>
      <w:r w:rsidRPr="0079440D">
        <w:rPr>
          <w:sz w:val="24"/>
          <w:rtl/>
        </w:rPr>
        <w:t xml:space="preserve"> </w:t>
      </w:r>
      <w:r w:rsidRPr="0079440D">
        <w:rPr>
          <w:rFonts w:hint="eastAsia"/>
          <w:sz w:val="24"/>
          <w:rtl/>
        </w:rPr>
        <w:t>ההליך</w:t>
      </w:r>
      <w:r w:rsidRPr="0079440D">
        <w:rPr>
          <w:sz w:val="24"/>
          <w:rtl/>
        </w:rPr>
        <w:t>.</w:t>
      </w:r>
    </w:p>
    <w:p w14:paraId="61E53E8B" w14:textId="77777777" w:rsidR="000777B4" w:rsidRDefault="000777B4" w:rsidP="000777B4">
      <w:pPr>
        <w:spacing w:before="100" w:beforeAutospacing="1" w:after="240" w:line="360" w:lineRule="auto"/>
        <w:contextualSpacing w:val="0"/>
        <w:jc w:val="both"/>
        <w:rPr>
          <w:rtl/>
        </w:rPr>
      </w:pPr>
      <w:r>
        <w:rPr>
          <w:rFonts w:hint="cs"/>
          <w:rtl/>
        </w:rPr>
        <w:t>המזכירות תמציא העתק מפסק הדין לצדדים.</w:t>
      </w:r>
    </w:p>
    <w:p w14:paraId="329D5468" w14:textId="583B1A02" w:rsidR="000777B4" w:rsidRPr="008A7D76" w:rsidRDefault="000777B4" w:rsidP="000777B4">
      <w:pPr>
        <w:spacing w:before="100" w:beforeAutospacing="1" w:after="240" w:line="360" w:lineRule="auto"/>
        <w:contextualSpacing w:val="0"/>
        <w:jc w:val="both"/>
        <w:rPr>
          <w:rtl/>
        </w:rPr>
      </w:pPr>
      <w:r>
        <w:rPr>
          <w:noProof/>
        </w:rPr>
        <mc:AlternateContent>
          <mc:Choice Requires="wpi">
            <w:drawing>
              <wp:anchor distT="0" distB="0" distL="114300" distR="114300" simplePos="0" relativeHeight="251658752" behindDoc="0" locked="0" layoutInCell="1" allowOverlap="1" wp14:anchorId="58BBE190" wp14:editId="23DF7EDA">
                <wp:simplePos x="0" y="0"/>
                <wp:positionH relativeFrom="column">
                  <wp:posOffset>732155</wp:posOffset>
                </wp:positionH>
                <wp:positionV relativeFrom="paragraph">
                  <wp:posOffset>127000</wp:posOffset>
                </wp:positionV>
                <wp:extent cx="421428" cy="677528"/>
                <wp:effectExtent l="0" t="0" r="0" b="0"/>
                <wp:wrapNone/>
                <wp:docPr id="14" name="דיו 3" descr="חתימת המפקח"/>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528"/>
                      </w14:xfrm>
                    </w14:contentPart>
                  </a:graphicData>
                </a:graphic>
              </wp:anchor>
            </w:drawing>
          </mc:Choice>
          <mc:Fallback>
            <w:pict>
              <v:shapetype w14:anchorId="0704BB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ת המפקח" style="position:absolute;left:0;text-align:left;margin-left:57.3pt;margin-top:9.65pt;width:33.9pt;height:54.1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">
                <v:imagedata r:id="rId12" o:title="חתימת המפקח"/>
              </v:shape>
            </w:pict>
          </mc:Fallback>
        </mc:AlternateContent>
      </w:r>
      <w:r>
        <w:rPr>
          <w:rFonts w:ascii="David" w:hAnsi="David"/>
          <w:noProof/>
          <w:rtl/>
          <w:lang w:val="he-IL"/>
        </w:rPr>
        <mc:AlternateContent>
          <mc:Choice Requires="wps">
            <w:drawing>
              <wp:anchor distT="0" distB="0" distL="114300" distR="114300" simplePos="0" relativeHeight="251657728" behindDoc="0" locked="0" layoutInCell="1" allowOverlap="1" wp14:anchorId="529A8810" wp14:editId="6A33E8C0">
                <wp:simplePos x="0" y="0"/>
                <wp:positionH relativeFrom="column">
                  <wp:posOffset>127000</wp:posOffset>
                </wp:positionH>
                <wp:positionV relativeFrom="paragraph">
                  <wp:posOffset>618967</wp:posOffset>
                </wp:positionV>
                <wp:extent cx="1654810" cy="508793"/>
                <wp:effectExtent l="0" t="0" r="0" b="0"/>
                <wp:wrapNone/>
                <wp:docPr id="12" name="כותרת משנה 2" descr="_________________&#10;ברק ליפשיץ&#10;מפקח על רישום מקרקעין&#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08793"/>
                        </a:xfrm>
                        <a:prstGeom prst="rect">
                          <a:avLst/>
                        </a:prstGeom>
                      </wps:spPr>
                      <wps:txbx>
                        <w:txbxContent>
                          <w:p w14:paraId="279A8BDF" w14:textId="77777777" w:rsidR="000777B4" w:rsidRDefault="000777B4" w:rsidP="000777B4">
                            <w:pPr>
                              <w:spacing w:line="216" w:lineRule="auto"/>
                              <w:jc w:val="center"/>
                              <w:rPr>
                                <w:rFonts w:ascii="David" w:hAnsi="David"/>
                                <w:color w:val="000000" w:themeColor="text1"/>
                                <w:kern w:val="24"/>
                              </w:rPr>
                            </w:pPr>
                            <w:r>
                              <w:rPr>
                                <w:rFonts w:ascii="David" w:hAnsi="David"/>
                                <w:color w:val="000000" w:themeColor="text1"/>
                                <w:kern w:val="24"/>
                                <w:rtl/>
                              </w:rPr>
                              <w:t>_________________</w:t>
                            </w:r>
                          </w:p>
                          <w:p w14:paraId="6EF4B563" w14:textId="77777777" w:rsidR="000777B4" w:rsidRPr="00B2668E" w:rsidRDefault="000777B4" w:rsidP="000777B4">
                            <w:pPr>
                              <w:spacing w:line="216" w:lineRule="auto"/>
                              <w:jc w:val="center"/>
                              <w:rPr>
                                <w:rFonts w:ascii="David" w:hAnsi="David"/>
                                <w:color w:val="000000" w:themeColor="text1"/>
                                <w:kern w:val="24"/>
                                <w:rtl/>
                              </w:rPr>
                            </w:pPr>
                            <w:r w:rsidRPr="00B2668E">
                              <w:rPr>
                                <w:rFonts w:ascii="David" w:hAnsi="David"/>
                                <w:color w:val="000000" w:themeColor="text1"/>
                                <w:kern w:val="24"/>
                                <w:rtl/>
                              </w:rPr>
                              <w:t>ברק ליפשיץ</w:t>
                            </w:r>
                          </w:p>
                          <w:p w14:paraId="3CDF8CD4" w14:textId="77777777" w:rsidR="000777B4" w:rsidRDefault="000777B4" w:rsidP="000777B4">
                            <w:pPr>
                              <w:spacing w:line="216" w:lineRule="auto"/>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529A8810" id="כותרת משנה 2" o:spid="_x0000_s1026" alt="_________________&#10;ברק ליפשיץ&#10;מפקח על רישום מקרקעין&#10;" style="position:absolute;left:0;text-align:left;margin-left:10pt;margin-top:48.75pt;width:130.3pt;height:40.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" filled="f" stroked="f">
                <o:lock v:ext="edit" grouping="t"/>
                <v:textbox>
                  <w:txbxContent>
                    <w:p w14:paraId="279A8BDF" w14:textId="77777777" w:rsidR="000777B4" w:rsidRDefault="000777B4" w:rsidP="000777B4">
                      <w:pPr>
                        <w:spacing w:line="216" w:lineRule="auto"/>
                        <w:jc w:val="center"/>
                        <w:rPr>
                          <w:rFonts w:ascii="David" w:hAnsi="David"/>
                          <w:color w:val="000000" w:themeColor="text1"/>
                          <w:kern w:val="24"/>
                        </w:rPr>
                      </w:pPr>
                      <w:r>
                        <w:rPr>
                          <w:rFonts w:ascii="David" w:hAnsi="David"/>
                          <w:color w:val="000000" w:themeColor="text1"/>
                          <w:kern w:val="24"/>
                          <w:rtl/>
                        </w:rPr>
                        <w:t>_________________</w:t>
                      </w:r>
                    </w:p>
                    <w:p w14:paraId="6EF4B563" w14:textId="77777777" w:rsidR="000777B4" w:rsidRPr="00B2668E" w:rsidRDefault="000777B4" w:rsidP="000777B4">
                      <w:pPr>
                        <w:spacing w:line="216" w:lineRule="auto"/>
                        <w:jc w:val="center"/>
                        <w:rPr>
                          <w:rFonts w:ascii="David" w:hAnsi="David"/>
                          <w:color w:val="000000" w:themeColor="text1"/>
                          <w:kern w:val="24"/>
                          <w:rtl/>
                        </w:rPr>
                      </w:pPr>
                      <w:r w:rsidRPr="00B2668E">
                        <w:rPr>
                          <w:rFonts w:ascii="David" w:hAnsi="David"/>
                          <w:color w:val="000000" w:themeColor="text1"/>
                          <w:kern w:val="24"/>
                          <w:rtl/>
                        </w:rPr>
                        <w:t>ברק ליפשיץ</w:t>
                      </w:r>
                    </w:p>
                    <w:p w14:paraId="3CDF8CD4" w14:textId="77777777" w:rsidR="000777B4" w:rsidRDefault="000777B4" w:rsidP="000777B4">
                      <w:pPr>
                        <w:spacing w:line="216" w:lineRule="auto"/>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r w:rsidRPr="0079440D">
        <w:rPr>
          <w:rFonts w:ascii="David" w:hAnsi="David"/>
          <w:rtl/>
        </w:rPr>
        <w:t>‏</w:t>
      </w:r>
      <w:r w:rsidRPr="0079440D">
        <w:rPr>
          <w:rFonts w:ascii="David" w:hAnsi="David"/>
          <w:b/>
          <w:bCs/>
          <w:rtl/>
        </w:rPr>
        <w:t>נית</w:t>
      </w:r>
      <w:r w:rsidR="0047445F">
        <w:rPr>
          <w:rFonts w:ascii="David" w:hAnsi="David" w:hint="cs"/>
          <w:b/>
          <w:bCs/>
          <w:rtl/>
        </w:rPr>
        <w:t>ן</w:t>
      </w:r>
      <w:r w:rsidRPr="0079440D">
        <w:rPr>
          <w:rFonts w:ascii="David" w:hAnsi="David"/>
          <w:b/>
          <w:bCs/>
          <w:rtl/>
        </w:rPr>
        <w:t xml:space="preserve"> היום</w:t>
      </w:r>
      <w:r w:rsidR="0074521A">
        <w:rPr>
          <w:rFonts w:ascii="David" w:hAnsi="David" w:hint="cs"/>
          <w:b/>
          <w:bCs/>
          <w:rtl/>
        </w:rPr>
        <w:t xml:space="preserve"> 01.10.2024, כ"ח אלול תשפ"ד,</w:t>
      </w:r>
      <w:r w:rsidR="0074521A" w:rsidRPr="0079440D">
        <w:rPr>
          <w:rFonts w:ascii="David" w:hAnsi="David"/>
          <w:b/>
          <w:bCs/>
          <w:rtl/>
        </w:rPr>
        <w:t xml:space="preserve"> </w:t>
      </w:r>
      <w:r w:rsidRPr="0079440D">
        <w:rPr>
          <w:rFonts w:ascii="David" w:hAnsi="David"/>
          <w:b/>
          <w:bCs/>
          <w:rtl/>
        </w:rPr>
        <w:t xml:space="preserve"> בהיעדר הצדדים</w:t>
      </w:r>
      <w:r w:rsidRPr="0079440D">
        <w:rPr>
          <w:rFonts w:ascii="David" w:hAnsi="David"/>
          <w:rtl/>
        </w:rPr>
        <w:t>.</w:t>
      </w:r>
    </w:p>
    <w:p w14:paraId="0AC0FEB3" w14:textId="5D913B3D" w:rsidR="00BF226D" w:rsidRPr="008A7D76" w:rsidRDefault="00BF226D" w:rsidP="000777B4">
      <w:pPr>
        <w:spacing w:after="200" w:line="276" w:lineRule="auto"/>
        <w:contextualSpacing w:val="0"/>
        <w:rPr>
          <w:rtl/>
        </w:rPr>
      </w:pPr>
    </w:p>
    <w:sectPr w:rsidR="00BF226D" w:rsidRPr="008A7D76"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2B210" w14:textId="77777777" w:rsidR="00097C16" w:rsidRDefault="00097C16" w:rsidP="00E6645A">
      <w:r>
        <w:separator/>
      </w:r>
    </w:p>
  </w:endnote>
  <w:endnote w:type="continuationSeparator" w:id="0">
    <w:p w14:paraId="7D06DD8E" w14:textId="77777777" w:rsidR="00097C16" w:rsidRDefault="00097C16"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6CED7691"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8B0FAA">
          <w:fldChar w:fldCharType="begin"/>
        </w:r>
        <w:r w:rsidR="008B0FAA">
          <w:instrText xml:space="preserve"> PAGE   \* MERGEFORMAT </w:instrText>
        </w:r>
        <w:r w:rsidR="008B0FAA">
          <w:fldChar w:fldCharType="separate"/>
        </w:r>
        <w:r w:rsidR="00CE5718">
          <w:rPr>
            <w:noProof/>
            <w:rtl/>
          </w:rPr>
          <w:t>1</w:t>
        </w:r>
        <w:r w:rsidR="008B0FAA">
          <w:fldChar w:fldCharType="end"/>
        </w:r>
      </w:p>
    </w:sdtContent>
  </w:sdt>
  <w:p w14:paraId="6CEA9D12"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D52A8" w14:textId="77777777" w:rsidR="00097C16" w:rsidRDefault="00097C16" w:rsidP="00E6645A">
      <w:r>
        <w:separator/>
      </w:r>
    </w:p>
  </w:footnote>
  <w:footnote w:type="continuationSeparator" w:id="0">
    <w:p w14:paraId="2FBB5AA7" w14:textId="77777777" w:rsidR="00097C16" w:rsidRDefault="00097C16"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50FBA" w14:textId="42153909"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729FD52F" wp14:editId="78C25C04">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BF92152"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2F801CF5"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60E3B87F"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5047062" w14:textId="77777777" w:rsidTr="001035B0">
      <w:tc>
        <w:tcPr>
          <w:tcW w:w="3118" w:type="dxa"/>
        </w:tcPr>
        <w:p w14:paraId="1B29C3A5"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2C434CD0"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2CE6800F"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21CB97A4" w14:textId="77777777" w:rsidR="00D3650D" w:rsidRPr="00257FA6" w:rsidRDefault="00D3650D" w:rsidP="00373A1B">
          <w:pPr>
            <w:pStyle w:val="a6"/>
            <w:jc w:val="center"/>
            <w:rPr>
              <w:rFonts w:ascii="Arial" w:hAnsi="Arial"/>
              <w:b/>
              <w:bCs/>
              <w:sz w:val="20"/>
              <w:rtl/>
            </w:rPr>
          </w:pPr>
        </w:p>
      </w:tc>
      <w:tc>
        <w:tcPr>
          <w:tcW w:w="4537" w:type="dxa"/>
        </w:tcPr>
        <w:p w14:paraId="1A854067" w14:textId="77777777" w:rsidR="00D3650D" w:rsidRPr="00257FA6" w:rsidRDefault="001E56A2" w:rsidP="001C63D8">
          <w:pPr>
            <w:pStyle w:val="a6"/>
            <w:rPr>
              <w:rFonts w:ascii="Arial" w:hAnsi="Arial"/>
              <w:b/>
              <w:bCs/>
              <w:sz w:val="20"/>
              <w:rtl/>
            </w:rPr>
          </w:pPr>
          <w:r>
            <w:rPr>
              <w:rFonts w:ascii="David" w:hAnsi="David"/>
              <w:b/>
              <w:bCs/>
              <w:noProof/>
              <w:sz w:val="24"/>
              <w:rtl/>
            </w:rPr>
            <w:t>מס' תיק: 3/410/2024</w:t>
          </w:r>
        </w:p>
      </w:tc>
    </w:tr>
  </w:tbl>
  <w:p w14:paraId="16582596"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3C59592E"/>
    <w:multiLevelType w:val="hybridMultilevel"/>
    <w:tmpl w:val="8EC6D0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1" w:val="........................................................................................................................................................................................................................................................................................................................................................................................................................................................................................................................................................................................................................................................................................................................................................................................................................................................................................................................................................................................................................................"/>
    <w:docVar w:name="134" w:val="........................................................................................................................................................................................................................................................................................................................................................................................................................................................................................................................................................................................................................................................................................................................................................................................................................................................................................................................................................................................................................................"/>
    <w:docVar w:name="DocTable" w:val="2"/>
    <w:docVar w:name="Document Headings-07/10/2024 08:56:10" w:val="........................................................................................................................................................................................................................................................................................................................................................................................................................................................................................................................................................................................................................................................................................................................................................................................................................................................................................................................................................................................................................................"/>
    <w:docVar w:name="Document MetaData-07/10/2024 08:54:52" w:val="........................................................................................................................................................................................................................................................................................................................................................................................................................................................................................................................................................................................................................................................................................................................................................................................................................................................................................................................................................................................................................................"/>
    <w:docVar w:name="P1" w:val="Document MetaData-07/10/2024 08:56:37"/>
    <w:docVar w:name="P2" w:val="Document Headings-07/10/2024 08:56:41"/>
    <w:docVar w:name="P3" w:val="Document Tables-07/10/2024 08:56:51"/>
    <w:docVar w:name="ParaNumber" w:val="127"/>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777B4"/>
    <w:rsid w:val="0008218B"/>
    <w:rsid w:val="00082BC7"/>
    <w:rsid w:val="000834B7"/>
    <w:rsid w:val="000960BA"/>
    <w:rsid w:val="00097C16"/>
    <w:rsid w:val="000C25E1"/>
    <w:rsid w:val="000D1035"/>
    <w:rsid w:val="000E046E"/>
    <w:rsid w:val="000E59A0"/>
    <w:rsid w:val="000F1BB5"/>
    <w:rsid w:val="000F40C1"/>
    <w:rsid w:val="0010153E"/>
    <w:rsid w:val="001035B0"/>
    <w:rsid w:val="00107339"/>
    <w:rsid w:val="001166DA"/>
    <w:rsid w:val="00141176"/>
    <w:rsid w:val="00151D2B"/>
    <w:rsid w:val="00171732"/>
    <w:rsid w:val="001A73F3"/>
    <w:rsid w:val="001D4325"/>
    <w:rsid w:val="001E56A2"/>
    <w:rsid w:val="001F5C40"/>
    <w:rsid w:val="00227E56"/>
    <w:rsid w:val="00227EDD"/>
    <w:rsid w:val="00237FAC"/>
    <w:rsid w:val="00257FA6"/>
    <w:rsid w:val="0026341F"/>
    <w:rsid w:val="0028308D"/>
    <w:rsid w:val="00285EE4"/>
    <w:rsid w:val="002A668B"/>
    <w:rsid w:val="002B2DC6"/>
    <w:rsid w:val="002F3A29"/>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25CF4"/>
    <w:rsid w:val="0043108A"/>
    <w:rsid w:val="00436544"/>
    <w:rsid w:val="004504E1"/>
    <w:rsid w:val="004507C9"/>
    <w:rsid w:val="00451EC5"/>
    <w:rsid w:val="0046217D"/>
    <w:rsid w:val="0046318A"/>
    <w:rsid w:val="004652EB"/>
    <w:rsid w:val="00472CF9"/>
    <w:rsid w:val="0047445F"/>
    <w:rsid w:val="00492E70"/>
    <w:rsid w:val="004C4A98"/>
    <w:rsid w:val="004E326D"/>
    <w:rsid w:val="004F780E"/>
    <w:rsid w:val="00506114"/>
    <w:rsid w:val="00533418"/>
    <w:rsid w:val="00535A25"/>
    <w:rsid w:val="00545351"/>
    <w:rsid w:val="00545579"/>
    <w:rsid w:val="00555A87"/>
    <w:rsid w:val="005714F0"/>
    <w:rsid w:val="005807C0"/>
    <w:rsid w:val="005A2149"/>
    <w:rsid w:val="005A4338"/>
    <w:rsid w:val="005B2A07"/>
    <w:rsid w:val="005B52BD"/>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5B31"/>
    <w:rsid w:val="006F3E4F"/>
    <w:rsid w:val="00716D3E"/>
    <w:rsid w:val="007447BC"/>
    <w:rsid w:val="0074521A"/>
    <w:rsid w:val="00750616"/>
    <w:rsid w:val="007523B0"/>
    <w:rsid w:val="007606E7"/>
    <w:rsid w:val="00761393"/>
    <w:rsid w:val="0076341C"/>
    <w:rsid w:val="00772464"/>
    <w:rsid w:val="0078315F"/>
    <w:rsid w:val="00786824"/>
    <w:rsid w:val="00792E10"/>
    <w:rsid w:val="007A22B9"/>
    <w:rsid w:val="007B1CF6"/>
    <w:rsid w:val="007D6E86"/>
    <w:rsid w:val="007E3C9A"/>
    <w:rsid w:val="007E47BC"/>
    <w:rsid w:val="00803D38"/>
    <w:rsid w:val="008346FC"/>
    <w:rsid w:val="00835647"/>
    <w:rsid w:val="00841790"/>
    <w:rsid w:val="00846D73"/>
    <w:rsid w:val="00850B49"/>
    <w:rsid w:val="0086487F"/>
    <w:rsid w:val="00864C03"/>
    <w:rsid w:val="00867BA8"/>
    <w:rsid w:val="008716BE"/>
    <w:rsid w:val="00895C0A"/>
    <w:rsid w:val="008A2AB4"/>
    <w:rsid w:val="008A7D76"/>
    <w:rsid w:val="008B0FAA"/>
    <w:rsid w:val="008B1450"/>
    <w:rsid w:val="008C4D39"/>
    <w:rsid w:val="008E0BDC"/>
    <w:rsid w:val="009058E3"/>
    <w:rsid w:val="00941F0E"/>
    <w:rsid w:val="0095273E"/>
    <w:rsid w:val="00954DDD"/>
    <w:rsid w:val="00982571"/>
    <w:rsid w:val="00986C4F"/>
    <w:rsid w:val="00995661"/>
    <w:rsid w:val="009957CE"/>
    <w:rsid w:val="009D11B7"/>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8524A"/>
    <w:rsid w:val="00C92D3D"/>
    <w:rsid w:val="00CB44D3"/>
    <w:rsid w:val="00CD0363"/>
    <w:rsid w:val="00CE5718"/>
    <w:rsid w:val="00CF458D"/>
    <w:rsid w:val="00D0443B"/>
    <w:rsid w:val="00D11EF2"/>
    <w:rsid w:val="00D3650D"/>
    <w:rsid w:val="00D40469"/>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2BAF929"/>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ad">
    <w:name w:val="פיסקת רשימה תו"/>
    <w:basedOn w:val="a0"/>
    <w:link w:val="ac"/>
    <w:uiPriority w:val="34"/>
    <w:locked/>
    <w:rsid w:val="00CE5718"/>
    <w:rPr>
      <w:rFonts w:ascii="Times New Roman" w:hAnsi="Times New Roman" w:cs="David"/>
      <w:szCs w:val="24"/>
    </w:rPr>
  </w:style>
  <w:style w:type="paragraph" w:styleId="ae">
    <w:name w:val="Quote"/>
    <w:basedOn w:val="a"/>
    <w:next w:val="a"/>
    <w:link w:val="af"/>
    <w:autoRedefine/>
    <w:uiPriority w:val="29"/>
    <w:qFormat/>
    <w:rsid w:val="00CE5718"/>
    <w:pPr>
      <w:spacing w:before="100" w:beforeAutospacing="1" w:after="240" w:line="360" w:lineRule="auto"/>
      <w:ind w:left="862" w:right="862"/>
      <w:contextualSpacing w:val="0"/>
      <w:jc w:val="center"/>
    </w:pPr>
    <w:rPr>
      <w:rFonts w:ascii="David" w:hAnsi="David"/>
      <w:sz w:val="24"/>
    </w:rPr>
  </w:style>
  <w:style w:type="character" w:customStyle="1" w:styleId="af">
    <w:name w:val="ציטוט תו"/>
    <w:basedOn w:val="a0"/>
    <w:link w:val="ae"/>
    <w:uiPriority w:val="29"/>
    <w:rsid w:val="00CE5718"/>
    <w:rPr>
      <w:rFonts w:ascii="David" w:hAnsi="David"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442 763,'6'-7,"1"0,0-1,0 2,0-1,1 1,0 1,2 0,-2 0,1 1,-1-1,1 2,0 0,1 1,-1-1,0 2,1-1,15 1,6-1,115 2,-130 1,1 1,-1 0,-1 2,2 0,-2 1,26 11,-30-8,1 0,-1-1,-1 2,0 0,0 1,-1 0,9 13,55 82,-60-80,-1 2,-1-1,0 2,-3-1,0 1,-1 1,-2-1,0 1,1 49,-6-70,0 0,0 0,-1 1,-1-1,1 1,-2-1,1 0,0 0,-1-1,-1 1,1 0,-1-1,0 0,0 0,-1 0,0-1,0 1,0-1,-1-1,0 1,0-1,-1 0,1-1,-1 1,1-2,-1 1,-1 0,1-2,0 1,-13 2,-1-2,1 1,0-3,-1 0,1-2,-1 1,-25-6,26 0,1 0,0-1,1-2,-1 1,1-2,-20-15,24 15,-2-1,2 3,-2-1,0 2,-1 0,1 1,-1 1,-29-6,-15 6,-38-3,88 8,-1 1,0 0,0 1,0 1,1-1,-16 8,-32 12,38-15,-1 1,-30 17,45-22,1 2,0 0,-1 0,2 0,-1 0,0 1,2 0,-2 0,2 0,-1 1,-5 11,0 5,3-1,-1 1,1 0,2 1,0 0,1-1,1 1,2 0,0 2,1-2,5 40,-2-52,-1 0,1 0,0 1,8 13,-10-20,1-1,1 0,0 0,0-1,-1 1,2 0,-1-1,1 0,0 0,0 0,8 5,-11-8,0-1,0 1,0-1,0 0,1 0,-1 1,0-1,0 0,0 0,0 0,1-1,-1 1,0 0,1-1,-2 1,1-1,1 1,-1-1,0 0,0 1,0 0,0-1,0 0,0 0,0 0,-1 0,1 0,0 1,1-4,23-35,-22 35,17-34,-1 0,-1 0,-3-3,-1 0,-1 0,-2-1,-2 0,-2-1,-1 1,-2-2,-2 1,-1-1,-2 2,-10-76,-49-147,11 64,38 134,4-1,1 1,5-96,1 151,2 0,-1 0,2 0,0 0,0 1,1-1,1 1,-1 0,1 0,0 1,2 0,-1-1,1 2,0 0,0-1,1 2,0-1,1 1,17-11,-12 8,2 1,0 0,1 1,0 1,0 0,0 2,1 0,-1 2,2 0,-1 1,23 0,12 4,55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7C57F1DE-83A5-433F-9389-3372BB37D76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2120</Words>
  <Characters>10074</Characters>
  <Application>Microsoft Office Word</Application>
  <DocSecurity>0</DocSecurity>
  <Lines>83</Lines>
  <Paragraphs>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3/410/2024</dc:title>
  <dc:creator>susyl</dc:creator>
  <cp:keywords>Produced By WeCo Office Accessibilty</cp:keywords>
  <dc:description>שלב 4 - טיפול בתמונות וקישורים
</dc:description>
  <cp:lastModifiedBy>Ofir Steiner</cp:lastModifiedBy>
  <cp:revision>4</cp:revision>
  <cp:lastPrinted>2024-10-07T05:57:00Z</cp:lastPrinted>
  <dcterms:created xsi:type="dcterms:W3CDTF">2024-10-07T05:57:00Z</dcterms:created>
  <dcterms:modified xsi:type="dcterms:W3CDTF">2024-10-07T06:00:00Z</dcterms:modified>
  <cp:category>Clean Validation report was produced on: 07/10/2024 08:57:27</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