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3C3" w:rsidRPr="004A02AD" w:rsidRDefault="00AD43C3" w:rsidP="00AD43C3">
      <w:pPr>
        <w:rPr>
          <w:rFonts w:asciiTheme="majorHAnsi" w:hAnsiTheme="majorHAnsi" w:cs="SFRM1000"/>
          <w:sz w:val="20"/>
          <w:szCs w:val="20"/>
        </w:rPr>
      </w:pPr>
      <w:r w:rsidRPr="004A02AD">
        <w:rPr>
          <w:rFonts w:asciiTheme="majorHAnsi" w:hAnsiTheme="majorHAnsi" w:cs="SFRM1000"/>
          <w:sz w:val="20"/>
          <w:szCs w:val="20"/>
        </w:rPr>
        <w:t xml:space="preserve">The results of the classifiers </w:t>
      </w:r>
      <w:proofErr w:type="gramStart"/>
      <w:r w:rsidRPr="004A02AD">
        <w:rPr>
          <w:rFonts w:asciiTheme="majorHAnsi" w:hAnsiTheme="majorHAnsi" w:cs="SFRM1000"/>
          <w:sz w:val="20"/>
          <w:szCs w:val="20"/>
        </w:rPr>
        <w:t>are displayed</w:t>
      </w:r>
      <w:proofErr w:type="gramEnd"/>
      <w:r w:rsidRPr="004A02AD">
        <w:rPr>
          <w:rFonts w:asciiTheme="majorHAnsi" w:hAnsiTheme="majorHAnsi" w:cs="SFRM1000"/>
          <w:sz w:val="20"/>
          <w:szCs w:val="20"/>
        </w:rPr>
        <w:t xml:space="preserve"> in the following table.</w:t>
      </w:r>
      <w:r w:rsidRPr="004A02AD">
        <w:rPr>
          <w:rFonts w:asciiTheme="majorHAnsi" w:hAnsiTheme="majorHAnsi" w:cs="SFRM1000"/>
          <w:sz w:val="20"/>
          <w:szCs w:val="20"/>
        </w:rPr>
        <w:t xml:space="preserve"> In the case of the Naïve classifiers, the best score </w:t>
      </w:r>
      <w:proofErr w:type="gramStart"/>
      <w:r w:rsidRPr="004A02AD">
        <w:rPr>
          <w:rFonts w:asciiTheme="majorHAnsi" w:hAnsiTheme="majorHAnsi" w:cs="SFRM1000"/>
          <w:sz w:val="20"/>
          <w:szCs w:val="20"/>
        </w:rPr>
        <w:t>was used</w:t>
      </w:r>
      <w:proofErr w:type="gramEnd"/>
      <w:r w:rsidRPr="004A02AD">
        <w:rPr>
          <w:rFonts w:asciiTheme="majorHAnsi" w:hAnsiTheme="majorHAnsi" w:cs="SFRM1000"/>
          <w:sz w:val="20"/>
          <w:szCs w:val="20"/>
        </w:rPr>
        <w:t xml:space="preserve"> in the different situations. These were the entire dataset, </w:t>
      </w:r>
      <w:r w:rsidR="004A02AD" w:rsidRPr="004A02AD">
        <w:rPr>
          <w:rFonts w:asciiTheme="majorHAnsi" w:hAnsiTheme="majorHAnsi" w:cs="SFRM1000"/>
          <w:sz w:val="20"/>
          <w:szCs w:val="20"/>
        </w:rPr>
        <w:t>removing outliers</w:t>
      </w:r>
      <w:r w:rsidRPr="004A02AD">
        <w:rPr>
          <w:rFonts w:asciiTheme="majorHAnsi" w:hAnsiTheme="majorHAnsi" w:cs="SFRM1000"/>
          <w:sz w:val="20"/>
          <w:szCs w:val="20"/>
        </w:rPr>
        <w:t xml:space="preserve">, taking only the years before 2015 into consideration and only considering 2015. </w:t>
      </w:r>
    </w:p>
    <w:tbl>
      <w:tblPr>
        <w:tblStyle w:val="TableGrid"/>
        <w:tblW w:w="8555" w:type="dxa"/>
        <w:tblLook w:val="04A0" w:firstRow="1" w:lastRow="0" w:firstColumn="1" w:lastColumn="0" w:noHBand="0" w:noVBand="1"/>
      </w:tblPr>
      <w:tblGrid>
        <w:gridCol w:w="2829"/>
        <w:gridCol w:w="2731"/>
        <w:gridCol w:w="1145"/>
        <w:gridCol w:w="1850"/>
      </w:tblGrid>
      <w:tr w:rsidR="00AD43C3" w:rsidRPr="004A02AD" w:rsidTr="005144F8">
        <w:tc>
          <w:tcPr>
            <w:tcW w:w="2829" w:type="dxa"/>
          </w:tcPr>
          <w:p w:rsidR="00AD43C3" w:rsidRPr="004A02AD" w:rsidRDefault="00AD43C3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Classifier</w:t>
            </w:r>
          </w:p>
        </w:tc>
        <w:tc>
          <w:tcPr>
            <w:tcW w:w="2731" w:type="dxa"/>
          </w:tcPr>
          <w:p w:rsidR="00AD43C3" w:rsidRPr="004A02AD" w:rsidRDefault="00AD43C3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Method</w:t>
            </w:r>
          </w:p>
        </w:tc>
        <w:tc>
          <w:tcPr>
            <w:tcW w:w="1145" w:type="dxa"/>
          </w:tcPr>
          <w:p w:rsidR="00AD43C3" w:rsidRPr="004A02AD" w:rsidRDefault="00AD43C3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RMSLE</w:t>
            </w:r>
            <w:r w:rsidRPr="004A02AD">
              <w:rPr>
                <w:rStyle w:val="FootnoteReference"/>
                <w:rFonts w:asciiTheme="majorHAnsi" w:hAnsiTheme="majorHAnsi" w:cs="SFRM1000"/>
                <w:sz w:val="20"/>
                <w:szCs w:val="20"/>
              </w:rPr>
              <w:footnoteReference w:id="1"/>
            </w:r>
            <w:r w:rsidRPr="004A02AD">
              <w:rPr>
                <w:rFonts w:asciiTheme="majorHAnsi" w:hAnsiTheme="majorHAnsi" w:cs="SFRM1000"/>
                <w:sz w:val="20"/>
                <w:szCs w:val="20"/>
              </w:rPr>
              <w:t xml:space="preserve"> </w:t>
            </w:r>
          </w:p>
        </w:tc>
        <w:tc>
          <w:tcPr>
            <w:tcW w:w="1850" w:type="dxa"/>
          </w:tcPr>
          <w:p w:rsidR="00AD43C3" w:rsidRPr="004A02AD" w:rsidRDefault="00AD43C3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proofErr w:type="spellStart"/>
            <w:r w:rsidRPr="004A02AD">
              <w:rPr>
                <w:rFonts w:asciiTheme="majorHAnsi" w:hAnsiTheme="majorHAnsi" w:cs="SFRM1000"/>
                <w:sz w:val="20"/>
                <w:szCs w:val="20"/>
              </w:rPr>
              <w:t>Kaggle</w:t>
            </w:r>
            <w:proofErr w:type="spellEnd"/>
            <w:r w:rsidRPr="004A02AD">
              <w:rPr>
                <w:rFonts w:asciiTheme="majorHAnsi" w:hAnsiTheme="majorHAnsi" w:cs="SFRM1000"/>
                <w:sz w:val="20"/>
                <w:szCs w:val="20"/>
              </w:rPr>
              <w:t xml:space="preserve"> Rank</w:t>
            </w:r>
            <w:r w:rsidR="005144F8">
              <w:rPr>
                <w:rFonts w:asciiTheme="majorHAnsi" w:hAnsiTheme="majorHAnsi" w:cs="SFRM1000"/>
                <w:sz w:val="20"/>
                <w:szCs w:val="20"/>
              </w:rPr>
              <w:t xml:space="preserve"> (3077)</w:t>
            </w:r>
          </w:p>
        </w:tc>
      </w:tr>
      <w:tr w:rsidR="00AD43C3" w:rsidRPr="004A02AD" w:rsidTr="005144F8">
        <w:tc>
          <w:tcPr>
            <w:tcW w:w="2829" w:type="dxa"/>
          </w:tcPr>
          <w:p w:rsidR="00AD43C3" w:rsidRPr="004A02AD" w:rsidRDefault="00AD43C3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Benchmark Submission</w:t>
            </w:r>
          </w:p>
        </w:tc>
        <w:tc>
          <w:tcPr>
            <w:tcW w:w="2731" w:type="dxa"/>
          </w:tcPr>
          <w:p w:rsidR="00AD43C3" w:rsidRPr="004A02AD" w:rsidRDefault="00AD43C3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Naïve XGBoost</w:t>
            </w:r>
          </w:p>
        </w:tc>
        <w:tc>
          <w:tcPr>
            <w:tcW w:w="1145" w:type="dxa"/>
          </w:tcPr>
          <w:p w:rsidR="00AD43C3" w:rsidRPr="004A02AD" w:rsidRDefault="00AD43C3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0.67333</w:t>
            </w:r>
          </w:p>
        </w:tc>
        <w:tc>
          <w:tcPr>
            <w:tcW w:w="1850" w:type="dxa"/>
          </w:tcPr>
          <w:p w:rsidR="00AD43C3" w:rsidRPr="004A02AD" w:rsidRDefault="005144F8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>
              <w:rPr>
                <w:rFonts w:asciiTheme="majorHAnsi" w:hAnsiTheme="majorHAnsi" w:cs="SFRM1000"/>
                <w:sz w:val="20"/>
                <w:szCs w:val="20"/>
              </w:rPr>
              <w:t>3034</w:t>
            </w:r>
          </w:p>
        </w:tc>
      </w:tr>
      <w:tr w:rsidR="00AD43C3" w:rsidRPr="004A02AD" w:rsidTr="005144F8">
        <w:tc>
          <w:tcPr>
            <w:tcW w:w="2829" w:type="dxa"/>
          </w:tcPr>
          <w:p w:rsidR="00AD43C3" w:rsidRPr="004A02AD" w:rsidRDefault="00AD43C3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XGBoost</w:t>
            </w:r>
          </w:p>
        </w:tc>
        <w:tc>
          <w:tcPr>
            <w:tcW w:w="2731" w:type="dxa"/>
          </w:tcPr>
          <w:p w:rsidR="00AD43C3" w:rsidRPr="004A02AD" w:rsidRDefault="00AD43C3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Single</w:t>
            </w:r>
          </w:p>
        </w:tc>
        <w:tc>
          <w:tcPr>
            <w:tcW w:w="1145" w:type="dxa"/>
          </w:tcPr>
          <w:p w:rsidR="00AD43C3" w:rsidRPr="004A02AD" w:rsidRDefault="00370732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0.32575</w:t>
            </w:r>
          </w:p>
        </w:tc>
        <w:tc>
          <w:tcPr>
            <w:tcW w:w="1850" w:type="dxa"/>
          </w:tcPr>
          <w:p w:rsidR="00AD43C3" w:rsidRPr="004A02AD" w:rsidRDefault="005144F8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>
              <w:rPr>
                <w:rFonts w:asciiTheme="majorHAnsi" w:hAnsiTheme="majorHAnsi" w:cs="SFRM1000"/>
                <w:sz w:val="20"/>
                <w:szCs w:val="20"/>
              </w:rPr>
              <w:t>1856</w:t>
            </w:r>
          </w:p>
        </w:tc>
      </w:tr>
      <w:tr w:rsidR="00AD43C3" w:rsidRPr="004A02AD" w:rsidTr="005144F8">
        <w:tc>
          <w:tcPr>
            <w:tcW w:w="2829" w:type="dxa"/>
          </w:tcPr>
          <w:p w:rsidR="00AD43C3" w:rsidRPr="004A02AD" w:rsidRDefault="00AD43C3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XGBoost</w:t>
            </w:r>
          </w:p>
        </w:tc>
        <w:tc>
          <w:tcPr>
            <w:tcW w:w="2731" w:type="dxa"/>
          </w:tcPr>
          <w:p w:rsidR="00AD43C3" w:rsidRPr="004A02AD" w:rsidRDefault="00AD43C3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Ensemble with 3 models</w:t>
            </w:r>
          </w:p>
        </w:tc>
        <w:tc>
          <w:tcPr>
            <w:tcW w:w="1145" w:type="dxa"/>
          </w:tcPr>
          <w:p w:rsidR="00AD43C3" w:rsidRPr="004A02AD" w:rsidRDefault="00370732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0.31062</w:t>
            </w:r>
          </w:p>
        </w:tc>
        <w:tc>
          <w:tcPr>
            <w:tcW w:w="1850" w:type="dxa"/>
          </w:tcPr>
          <w:p w:rsidR="00AD43C3" w:rsidRPr="004A02AD" w:rsidRDefault="005144F8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>
              <w:rPr>
                <w:rFonts w:asciiTheme="majorHAnsi" w:hAnsiTheme="majorHAnsi" w:cs="SFRM1000"/>
                <w:sz w:val="20"/>
                <w:szCs w:val="20"/>
              </w:rPr>
              <w:t>266</w:t>
            </w:r>
          </w:p>
        </w:tc>
      </w:tr>
      <w:tr w:rsidR="00370732" w:rsidRPr="004A02AD" w:rsidTr="005144F8">
        <w:tc>
          <w:tcPr>
            <w:tcW w:w="2829" w:type="dxa"/>
          </w:tcPr>
          <w:p w:rsidR="00370732" w:rsidRPr="004A02AD" w:rsidRDefault="00370732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XGBoost</w:t>
            </w:r>
          </w:p>
        </w:tc>
        <w:tc>
          <w:tcPr>
            <w:tcW w:w="2731" w:type="dxa"/>
          </w:tcPr>
          <w:p w:rsidR="00370732" w:rsidRPr="004A02AD" w:rsidRDefault="00370732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Ensemble with 3 models</w:t>
            </w:r>
          </w:p>
          <w:p w:rsidR="00370732" w:rsidRPr="004A02AD" w:rsidRDefault="00370732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Readjustment of submission</w:t>
            </w:r>
          </w:p>
        </w:tc>
        <w:tc>
          <w:tcPr>
            <w:tcW w:w="1145" w:type="dxa"/>
          </w:tcPr>
          <w:p w:rsidR="00370732" w:rsidRPr="004A02AD" w:rsidRDefault="00370732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0.31051</w:t>
            </w:r>
          </w:p>
        </w:tc>
        <w:tc>
          <w:tcPr>
            <w:tcW w:w="1850" w:type="dxa"/>
          </w:tcPr>
          <w:p w:rsidR="00370732" w:rsidRPr="004A02AD" w:rsidRDefault="005144F8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>
              <w:rPr>
                <w:rFonts w:asciiTheme="majorHAnsi" w:hAnsiTheme="majorHAnsi" w:cs="SFRM1000"/>
                <w:sz w:val="20"/>
                <w:szCs w:val="20"/>
              </w:rPr>
              <w:t>168</w:t>
            </w:r>
            <w:bookmarkStart w:id="0" w:name="_GoBack"/>
            <w:bookmarkEnd w:id="0"/>
          </w:p>
        </w:tc>
      </w:tr>
      <w:tr w:rsidR="00AD43C3" w:rsidRPr="004A02AD" w:rsidTr="005144F8">
        <w:tc>
          <w:tcPr>
            <w:tcW w:w="2829" w:type="dxa"/>
          </w:tcPr>
          <w:p w:rsidR="00AD43C3" w:rsidRPr="004A02AD" w:rsidRDefault="00AD43C3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Deep Learning</w:t>
            </w:r>
          </w:p>
        </w:tc>
        <w:tc>
          <w:tcPr>
            <w:tcW w:w="2731" w:type="dxa"/>
          </w:tcPr>
          <w:p w:rsidR="00AD43C3" w:rsidRPr="004A02AD" w:rsidRDefault="00370732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Dense and Dropout</w:t>
            </w:r>
          </w:p>
        </w:tc>
        <w:tc>
          <w:tcPr>
            <w:tcW w:w="1145" w:type="dxa"/>
          </w:tcPr>
          <w:p w:rsidR="00AD43C3" w:rsidRPr="004A02AD" w:rsidRDefault="00370732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0.46745</w:t>
            </w:r>
          </w:p>
        </w:tc>
        <w:tc>
          <w:tcPr>
            <w:tcW w:w="1850" w:type="dxa"/>
          </w:tcPr>
          <w:p w:rsidR="00AD43C3" w:rsidRPr="004A02AD" w:rsidRDefault="005144F8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>
              <w:rPr>
                <w:rFonts w:asciiTheme="majorHAnsi" w:hAnsiTheme="majorHAnsi" w:cs="SFRM1000"/>
                <w:sz w:val="20"/>
                <w:szCs w:val="20"/>
              </w:rPr>
              <w:t>2870</w:t>
            </w:r>
          </w:p>
        </w:tc>
      </w:tr>
      <w:tr w:rsidR="00AD43C3" w:rsidRPr="004A02AD" w:rsidTr="005144F8">
        <w:tc>
          <w:tcPr>
            <w:tcW w:w="2829" w:type="dxa"/>
          </w:tcPr>
          <w:p w:rsidR="00AD43C3" w:rsidRPr="004A02AD" w:rsidRDefault="00370732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Random Forest</w:t>
            </w:r>
          </w:p>
        </w:tc>
        <w:tc>
          <w:tcPr>
            <w:tcW w:w="2731" w:type="dxa"/>
          </w:tcPr>
          <w:p w:rsidR="00AD43C3" w:rsidRPr="004A02AD" w:rsidRDefault="00370732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Naïve</w:t>
            </w:r>
          </w:p>
        </w:tc>
        <w:tc>
          <w:tcPr>
            <w:tcW w:w="1145" w:type="dxa"/>
          </w:tcPr>
          <w:p w:rsidR="00AD43C3" w:rsidRPr="004A02AD" w:rsidRDefault="00370732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6.12138</w:t>
            </w:r>
          </w:p>
        </w:tc>
        <w:tc>
          <w:tcPr>
            <w:tcW w:w="1850" w:type="dxa"/>
          </w:tcPr>
          <w:p w:rsidR="00AD43C3" w:rsidRPr="004A02AD" w:rsidRDefault="005144F8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>
              <w:rPr>
                <w:rFonts w:asciiTheme="majorHAnsi" w:hAnsiTheme="majorHAnsi" w:cs="SFRM1000"/>
                <w:sz w:val="20"/>
                <w:szCs w:val="20"/>
              </w:rPr>
              <w:t>3072</w:t>
            </w:r>
          </w:p>
        </w:tc>
      </w:tr>
      <w:tr w:rsidR="00AD43C3" w:rsidRPr="004A02AD" w:rsidTr="005144F8">
        <w:tc>
          <w:tcPr>
            <w:tcW w:w="2829" w:type="dxa"/>
          </w:tcPr>
          <w:p w:rsidR="00AD43C3" w:rsidRPr="004A02AD" w:rsidRDefault="00370732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 xml:space="preserve">SGD </w:t>
            </w:r>
            <w:proofErr w:type="spellStart"/>
            <w:r w:rsidRPr="004A02AD">
              <w:rPr>
                <w:rFonts w:asciiTheme="majorHAnsi" w:hAnsiTheme="majorHAnsi" w:cs="SFRM1000"/>
                <w:sz w:val="20"/>
                <w:szCs w:val="20"/>
              </w:rPr>
              <w:t>Regressor</w:t>
            </w:r>
            <w:proofErr w:type="spellEnd"/>
          </w:p>
        </w:tc>
        <w:tc>
          <w:tcPr>
            <w:tcW w:w="2731" w:type="dxa"/>
          </w:tcPr>
          <w:p w:rsidR="00AD43C3" w:rsidRPr="004A02AD" w:rsidRDefault="00370732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Naïve</w:t>
            </w:r>
          </w:p>
        </w:tc>
        <w:tc>
          <w:tcPr>
            <w:tcW w:w="1145" w:type="dxa"/>
          </w:tcPr>
          <w:p w:rsidR="00AD43C3" w:rsidRPr="004A02AD" w:rsidRDefault="00370732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0.59560</w:t>
            </w:r>
          </w:p>
        </w:tc>
        <w:tc>
          <w:tcPr>
            <w:tcW w:w="1850" w:type="dxa"/>
          </w:tcPr>
          <w:p w:rsidR="00AD43C3" w:rsidRPr="004A02AD" w:rsidRDefault="005144F8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>
              <w:rPr>
                <w:rFonts w:asciiTheme="majorHAnsi" w:hAnsiTheme="majorHAnsi" w:cs="SFRM1000"/>
                <w:sz w:val="20"/>
                <w:szCs w:val="20"/>
              </w:rPr>
              <w:t>3021</w:t>
            </w:r>
          </w:p>
        </w:tc>
      </w:tr>
      <w:tr w:rsidR="00AD43C3" w:rsidRPr="004A02AD" w:rsidTr="005144F8">
        <w:tc>
          <w:tcPr>
            <w:tcW w:w="2829" w:type="dxa"/>
          </w:tcPr>
          <w:p w:rsidR="00AD43C3" w:rsidRPr="004A02AD" w:rsidRDefault="00370732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Linear Regression</w:t>
            </w:r>
          </w:p>
        </w:tc>
        <w:tc>
          <w:tcPr>
            <w:tcW w:w="2731" w:type="dxa"/>
          </w:tcPr>
          <w:p w:rsidR="00AD43C3" w:rsidRPr="004A02AD" w:rsidRDefault="004A02AD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Complete dataset</w:t>
            </w:r>
          </w:p>
          <w:p w:rsidR="004A02AD" w:rsidRPr="004A02AD" w:rsidRDefault="004A02AD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Only 2015</w:t>
            </w:r>
          </w:p>
        </w:tc>
        <w:tc>
          <w:tcPr>
            <w:tcW w:w="1145" w:type="dxa"/>
          </w:tcPr>
          <w:p w:rsidR="00AD43C3" w:rsidRPr="004A02AD" w:rsidRDefault="004A02AD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0.49689</w:t>
            </w:r>
          </w:p>
        </w:tc>
        <w:tc>
          <w:tcPr>
            <w:tcW w:w="1850" w:type="dxa"/>
          </w:tcPr>
          <w:p w:rsidR="00AD43C3" w:rsidRPr="004A02AD" w:rsidRDefault="005144F8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>
              <w:rPr>
                <w:rFonts w:asciiTheme="majorHAnsi" w:hAnsiTheme="majorHAnsi" w:cs="SFRM1000"/>
                <w:sz w:val="20"/>
                <w:szCs w:val="20"/>
              </w:rPr>
              <w:t>2897</w:t>
            </w:r>
          </w:p>
        </w:tc>
      </w:tr>
      <w:tr w:rsidR="00370732" w:rsidRPr="004A02AD" w:rsidTr="005144F8">
        <w:tc>
          <w:tcPr>
            <w:tcW w:w="2829" w:type="dxa"/>
          </w:tcPr>
          <w:p w:rsidR="00370732" w:rsidRPr="004A02AD" w:rsidRDefault="00370732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proofErr w:type="spellStart"/>
            <w:r w:rsidRPr="004A02AD">
              <w:rPr>
                <w:rFonts w:asciiTheme="majorHAnsi" w:hAnsiTheme="majorHAnsi" w:cs="SFRM1000"/>
                <w:sz w:val="20"/>
                <w:szCs w:val="20"/>
              </w:rPr>
              <w:t>KNNeighbors</w:t>
            </w:r>
            <w:proofErr w:type="spellEnd"/>
          </w:p>
        </w:tc>
        <w:tc>
          <w:tcPr>
            <w:tcW w:w="2731" w:type="dxa"/>
          </w:tcPr>
          <w:p w:rsidR="004A02AD" w:rsidRPr="004A02AD" w:rsidRDefault="004A02AD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Amount of neighbors (6)</w:t>
            </w:r>
          </w:p>
          <w:p w:rsidR="00370732" w:rsidRPr="004A02AD" w:rsidRDefault="004A02AD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Removing outliers</w:t>
            </w:r>
          </w:p>
          <w:p w:rsidR="004A02AD" w:rsidRPr="004A02AD" w:rsidRDefault="004A02AD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Only 2015</w:t>
            </w:r>
          </w:p>
        </w:tc>
        <w:tc>
          <w:tcPr>
            <w:tcW w:w="1145" w:type="dxa"/>
          </w:tcPr>
          <w:p w:rsidR="00370732" w:rsidRPr="004A02AD" w:rsidRDefault="004A02AD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0.93122</w:t>
            </w:r>
          </w:p>
        </w:tc>
        <w:tc>
          <w:tcPr>
            <w:tcW w:w="1850" w:type="dxa"/>
          </w:tcPr>
          <w:p w:rsidR="00370732" w:rsidRPr="004A02AD" w:rsidRDefault="005144F8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>
              <w:rPr>
                <w:rFonts w:asciiTheme="majorHAnsi" w:hAnsiTheme="majorHAnsi" w:cs="SFRM1000"/>
                <w:sz w:val="20"/>
                <w:szCs w:val="20"/>
              </w:rPr>
              <w:t>3050</w:t>
            </w:r>
          </w:p>
        </w:tc>
      </w:tr>
      <w:tr w:rsidR="00370732" w:rsidRPr="004A02AD" w:rsidTr="005144F8">
        <w:tc>
          <w:tcPr>
            <w:tcW w:w="2829" w:type="dxa"/>
          </w:tcPr>
          <w:p w:rsidR="00370732" w:rsidRPr="004A02AD" w:rsidRDefault="00370732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Decision Tree</w:t>
            </w:r>
          </w:p>
        </w:tc>
        <w:tc>
          <w:tcPr>
            <w:tcW w:w="2731" w:type="dxa"/>
          </w:tcPr>
          <w:p w:rsidR="00370732" w:rsidRPr="004A02AD" w:rsidRDefault="004A02AD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Complete dataset</w:t>
            </w:r>
          </w:p>
          <w:p w:rsidR="004A02AD" w:rsidRPr="004A02AD" w:rsidRDefault="004A02AD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Only 2015</w:t>
            </w:r>
          </w:p>
        </w:tc>
        <w:tc>
          <w:tcPr>
            <w:tcW w:w="1145" w:type="dxa"/>
          </w:tcPr>
          <w:p w:rsidR="00370732" w:rsidRPr="004A02AD" w:rsidRDefault="004A02AD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0.58460</w:t>
            </w:r>
          </w:p>
        </w:tc>
        <w:tc>
          <w:tcPr>
            <w:tcW w:w="1850" w:type="dxa"/>
          </w:tcPr>
          <w:p w:rsidR="00370732" w:rsidRPr="004A02AD" w:rsidRDefault="005144F8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>
              <w:rPr>
                <w:rFonts w:asciiTheme="majorHAnsi" w:hAnsiTheme="majorHAnsi" w:cs="SFRM1000"/>
                <w:sz w:val="20"/>
                <w:szCs w:val="20"/>
              </w:rPr>
              <w:t>3020</w:t>
            </w:r>
          </w:p>
        </w:tc>
      </w:tr>
      <w:tr w:rsidR="00370732" w:rsidRPr="004A02AD" w:rsidTr="005144F8">
        <w:tc>
          <w:tcPr>
            <w:tcW w:w="2829" w:type="dxa"/>
          </w:tcPr>
          <w:p w:rsidR="00370732" w:rsidRPr="004A02AD" w:rsidRDefault="00370732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Random Forest</w:t>
            </w:r>
          </w:p>
        </w:tc>
        <w:tc>
          <w:tcPr>
            <w:tcW w:w="2731" w:type="dxa"/>
          </w:tcPr>
          <w:p w:rsidR="00370732" w:rsidRPr="004A02AD" w:rsidRDefault="004A02AD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Removing outliers</w:t>
            </w:r>
          </w:p>
          <w:p w:rsidR="004A02AD" w:rsidRPr="004A02AD" w:rsidRDefault="004A02AD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Only 2015</w:t>
            </w:r>
          </w:p>
        </w:tc>
        <w:tc>
          <w:tcPr>
            <w:tcW w:w="1145" w:type="dxa"/>
          </w:tcPr>
          <w:p w:rsidR="00370732" w:rsidRPr="004A02AD" w:rsidRDefault="004A02AD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0.75239</w:t>
            </w:r>
          </w:p>
        </w:tc>
        <w:tc>
          <w:tcPr>
            <w:tcW w:w="1850" w:type="dxa"/>
          </w:tcPr>
          <w:p w:rsidR="00370732" w:rsidRPr="004A02AD" w:rsidRDefault="005144F8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>
              <w:rPr>
                <w:rFonts w:asciiTheme="majorHAnsi" w:hAnsiTheme="majorHAnsi" w:cs="SFRM1000"/>
                <w:sz w:val="20"/>
                <w:szCs w:val="20"/>
              </w:rPr>
              <w:t>3040</w:t>
            </w:r>
          </w:p>
        </w:tc>
      </w:tr>
      <w:tr w:rsidR="00370732" w:rsidRPr="004A02AD" w:rsidTr="005144F8">
        <w:tc>
          <w:tcPr>
            <w:tcW w:w="2829" w:type="dxa"/>
          </w:tcPr>
          <w:p w:rsidR="00370732" w:rsidRPr="004A02AD" w:rsidRDefault="00370732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proofErr w:type="spellStart"/>
            <w:r w:rsidRPr="004A02AD">
              <w:rPr>
                <w:rFonts w:asciiTheme="majorHAnsi" w:hAnsiTheme="majorHAnsi" w:cs="SFRM1000"/>
                <w:sz w:val="20"/>
                <w:szCs w:val="20"/>
              </w:rPr>
              <w:t>Gradientboosting</w:t>
            </w:r>
            <w:proofErr w:type="spellEnd"/>
            <w:r w:rsidRPr="004A02AD">
              <w:rPr>
                <w:rFonts w:asciiTheme="majorHAnsi" w:hAnsiTheme="majorHAnsi" w:cs="SFRM1000"/>
                <w:sz w:val="20"/>
                <w:szCs w:val="20"/>
              </w:rPr>
              <w:t xml:space="preserve"> </w:t>
            </w:r>
            <w:proofErr w:type="spellStart"/>
            <w:r w:rsidRPr="004A02AD">
              <w:rPr>
                <w:rFonts w:asciiTheme="majorHAnsi" w:hAnsiTheme="majorHAnsi" w:cs="SFRM1000"/>
                <w:sz w:val="20"/>
                <w:szCs w:val="20"/>
              </w:rPr>
              <w:t>Regressor</w:t>
            </w:r>
            <w:proofErr w:type="spellEnd"/>
          </w:p>
        </w:tc>
        <w:tc>
          <w:tcPr>
            <w:tcW w:w="2731" w:type="dxa"/>
          </w:tcPr>
          <w:p w:rsidR="00370732" w:rsidRPr="004A02AD" w:rsidRDefault="004A02AD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Complete dataset</w:t>
            </w:r>
          </w:p>
          <w:p w:rsidR="004A02AD" w:rsidRPr="004A02AD" w:rsidRDefault="004A02AD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Only 2015</w:t>
            </w:r>
          </w:p>
        </w:tc>
        <w:tc>
          <w:tcPr>
            <w:tcW w:w="1145" w:type="dxa"/>
          </w:tcPr>
          <w:p w:rsidR="00370732" w:rsidRPr="004A02AD" w:rsidRDefault="004A02AD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 w:rsidRPr="004A02AD">
              <w:rPr>
                <w:rFonts w:asciiTheme="majorHAnsi" w:hAnsiTheme="majorHAnsi" w:cs="SFRM1000"/>
                <w:sz w:val="20"/>
                <w:szCs w:val="20"/>
              </w:rPr>
              <w:t>0.41384</w:t>
            </w:r>
          </w:p>
        </w:tc>
        <w:tc>
          <w:tcPr>
            <w:tcW w:w="1850" w:type="dxa"/>
          </w:tcPr>
          <w:p w:rsidR="00370732" w:rsidRPr="004A02AD" w:rsidRDefault="005144F8" w:rsidP="00AD43C3">
            <w:pPr>
              <w:rPr>
                <w:rFonts w:asciiTheme="majorHAnsi" w:hAnsiTheme="majorHAnsi" w:cs="SFRM1000"/>
                <w:sz w:val="20"/>
                <w:szCs w:val="20"/>
              </w:rPr>
            </w:pPr>
            <w:r>
              <w:rPr>
                <w:rFonts w:asciiTheme="majorHAnsi" w:hAnsiTheme="majorHAnsi" w:cs="SFRM1000"/>
                <w:sz w:val="20"/>
                <w:szCs w:val="20"/>
              </w:rPr>
              <w:t>2767</w:t>
            </w:r>
          </w:p>
        </w:tc>
      </w:tr>
    </w:tbl>
    <w:p w:rsidR="00AD43C3" w:rsidRPr="00AD43C3" w:rsidRDefault="00AD43C3" w:rsidP="00AD43C3">
      <w:pPr>
        <w:rPr>
          <w:rFonts w:ascii="SFRM1000" w:hAnsi="SFRM1000" w:cs="SFRM1000"/>
          <w:sz w:val="20"/>
          <w:szCs w:val="20"/>
        </w:rPr>
      </w:pPr>
    </w:p>
    <w:sectPr w:rsidR="00AD43C3" w:rsidRPr="00AD43C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AE6" w:rsidRDefault="00E92AE6" w:rsidP="00AD43C3">
      <w:pPr>
        <w:spacing w:after="0" w:line="240" w:lineRule="auto"/>
      </w:pPr>
      <w:r>
        <w:separator/>
      </w:r>
    </w:p>
  </w:endnote>
  <w:endnote w:type="continuationSeparator" w:id="0">
    <w:p w:rsidR="00E92AE6" w:rsidRDefault="00E92AE6" w:rsidP="00AD4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AE6" w:rsidRDefault="00E92AE6" w:rsidP="00AD43C3">
      <w:pPr>
        <w:spacing w:after="0" w:line="240" w:lineRule="auto"/>
      </w:pPr>
      <w:r>
        <w:separator/>
      </w:r>
    </w:p>
  </w:footnote>
  <w:footnote w:type="continuationSeparator" w:id="0">
    <w:p w:rsidR="00E92AE6" w:rsidRDefault="00E92AE6" w:rsidP="00AD43C3">
      <w:pPr>
        <w:spacing w:after="0" w:line="240" w:lineRule="auto"/>
      </w:pPr>
      <w:r>
        <w:continuationSeparator/>
      </w:r>
    </w:p>
  </w:footnote>
  <w:footnote w:id="1">
    <w:p w:rsidR="00AD43C3" w:rsidRPr="00AD43C3" w:rsidRDefault="00AD43C3">
      <w:pPr>
        <w:pStyle w:val="FootnoteText"/>
        <w:rPr>
          <w:lang w:val="nl-N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nl-NL"/>
        </w:rPr>
        <w:t>Root Mean Squared Logarithmic Error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3C3"/>
    <w:rsid w:val="00370732"/>
    <w:rsid w:val="004A02AD"/>
    <w:rsid w:val="00513C74"/>
    <w:rsid w:val="005144F8"/>
    <w:rsid w:val="0057330F"/>
    <w:rsid w:val="00AD43C3"/>
    <w:rsid w:val="00E9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09F5E-80E6-40EF-BC42-9FC371F4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D43C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43C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43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F5074-F4AD-46DF-88A9-1AE85D6B8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1</cp:revision>
  <dcterms:created xsi:type="dcterms:W3CDTF">2017-06-17T09:38:00Z</dcterms:created>
  <dcterms:modified xsi:type="dcterms:W3CDTF">2017-06-17T10:01:00Z</dcterms:modified>
</cp:coreProperties>
</file>