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A22" w:rsidRPr="001B3A22" w:rsidRDefault="001B3A22" w:rsidP="001B3A22">
      <w:pPr>
        <w:rPr>
          <w:rFonts w:ascii="Arial" w:eastAsia="Times New Roman" w:hAnsi="Arial" w:cs="Arial"/>
          <w:sz w:val="24"/>
          <w:szCs w:val="24"/>
          <w:lang w:eastAsia="nl-NL"/>
        </w:rPr>
      </w:pPr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Een katholieke Bijbel telt </w:t>
      </w:r>
      <w:r w:rsidRPr="001B3A22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73</w:t>
      </w:r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 boeken. Een protestantse Bijbel bevat er </w:t>
      </w:r>
      <w:r w:rsidRPr="001B3A22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66</w:t>
      </w:r>
      <w:r w:rsidRPr="001B3A22">
        <w:rPr>
          <w:rFonts w:ascii="Arial" w:eastAsia="Times New Roman" w:hAnsi="Arial" w:cs="Arial"/>
          <w:sz w:val="24"/>
          <w:szCs w:val="24"/>
          <w:lang w:eastAsia="nl-NL"/>
        </w:rPr>
        <w:t>. Het verschil zit hem puur in het Oude Testament; beide stromingen hanteren exact dezelfde 27 boeken voor het Nieuwe Testament. [</w:t>
      </w:r>
      <w:hyperlink r:id="rId5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1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6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2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7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3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8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4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>]</w:t>
      </w:r>
    </w:p>
    <w:p w:rsidR="001B3A22" w:rsidRPr="001B3A22" w:rsidRDefault="001B3A22" w:rsidP="001B3A22">
      <w:pPr>
        <w:rPr>
          <w:rFonts w:ascii="Arial" w:eastAsia="Times New Roman" w:hAnsi="Arial" w:cs="Arial"/>
          <w:sz w:val="24"/>
          <w:szCs w:val="24"/>
          <w:lang w:eastAsia="nl-NL"/>
        </w:rPr>
      </w:pPr>
      <w:r w:rsidRPr="001B3A22">
        <w:rPr>
          <w:rFonts w:ascii="Arial" w:eastAsia="Times New Roman" w:hAnsi="Arial" w:cs="Arial"/>
          <w:sz w:val="24"/>
          <w:szCs w:val="24"/>
          <w:lang w:eastAsia="nl-NL"/>
        </w:rPr>
        <w:t>De verschillen zijn als volgt verdeeld:</w:t>
      </w:r>
    </w:p>
    <w:p w:rsidR="001B3A22" w:rsidRPr="001B3A22" w:rsidRDefault="001B3A22" w:rsidP="001B3A22">
      <w:pPr>
        <w:numPr>
          <w:ilvl w:val="0"/>
          <w:numId w:val="1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B3A22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Katholieke Bijbel (73 boeken):</w:t>
      </w:r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 Bestaat uit 46 boeken in het Oude Testament en 27 in het Nieuwe Testament.</w:t>
      </w:r>
    </w:p>
    <w:p w:rsidR="001B3A22" w:rsidRPr="001B3A22" w:rsidRDefault="001B3A22" w:rsidP="001B3A22">
      <w:pPr>
        <w:numPr>
          <w:ilvl w:val="0"/>
          <w:numId w:val="1"/>
        </w:numPr>
        <w:ind w:left="0"/>
        <w:rPr>
          <w:rFonts w:ascii="Arial" w:eastAsia="Times New Roman" w:hAnsi="Arial" w:cs="Arial"/>
          <w:sz w:val="24"/>
          <w:szCs w:val="24"/>
          <w:lang w:eastAsia="nl-NL"/>
        </w:rPr>
      </w:pPr>
      <w:r w:rsidRPr="001B3A22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Protestantse Bijbel (66 boeken):</w:t>
      </w:r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 Bevat 39 boeken in het Oude Testament en 27 in het Nieuwe Testament. [</w:t>
      </w:r>
      <w:hyperlink r:id="rId9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1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, </w:t>
      </w:r>
      <w:hyperlink r:id="rId10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2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>]</w:t>
      </w:r>
    </w:p>
    <w:p w:rsidR="001B3A22" w:rsidRDefault="001B3A22" w:rsidP="001B3A22">
      <w:pPr>
        <w:rPr>
          <w:rFonts w:ascii="Arial" w:eastAsia="Times New Roman" w:hAnsi="Arial" w:cs="Arial"/>
          <w:b/>
          <w:bCs/>
          <w:sz w:val="24"/>
          <w:szCs w:val="24"/>
          <w:lang w:eastAsia="nl-NL"/>
        </w:rPr>
      </w:pPr>
    </w:p>
    <w:p w:rsidR="001B3A22" w:rsidRPr="001B3A22" w:rsidRDefault="001B3A22" w:rsidP="001B3A22">
      <w:pPr>
        <w:rPr>
          <w:rFonts w:ascii="Arial" w:eastAsia="Times New Roman" w:hAnsi="Arial" w:cs="Arial"/>
          <w:sz w:val="24"/>
          <w:szCs w:val="24"/>
          <w:lang w:eastAsia="nl-NL"/>
        </w:rPr>
      </w:pPr>
      <w:bookmarkStart w:id="0" w:name="_GoBack"/>
      <w:bookmarkEnd w:id="0"/>
      <w:proofErr w:type="spellStart"/>
      <w:r w:rsidRPr="001B3A22">
        <w:rPr>
          <w:rFonts w:ascii="Arial" w:eastAsia="Times New Roman" w:hAnsi="Arial" w:cs="Arial"/>
          <w:b/>
          <w:bCs/>
          <w:sz w:val="24"/>
          <w:szCs w:val="24"/>
          <w:lang w:eastAsia="nl-NL"/>
        </w:rPr>
        <w:t>Deuterocanonieke</w:t>
      </w:r>
      <w:proofErr w:type="spellEnd"/>
      <w:r w:rsidRPr="001B3A22">
        <w:rPr>
          <w:rFonts w:ascii="Arial" w:eastAsia="Times New Roman" w:hAnsi="Arial" w:cs="Arial"/>
          <w:b/>
          <w:bCs/>
          <w:sz w:val="24"/>
          <w:szCs w:val="24"/>
          <w:lang w:eastAsia="nl-NL"/>
        </w:rPr>
        <w:t xml:space="preserve"> boeken</w:t>
      </w:r>
      <w:r w:rsidRPr="001B3A22">
        <w:rPr>
          <w:rFonts w:ascii="Arial" w:eastAsia="Times New Roman" w:hAnsi="Arial" w:cs="Arial"/>
          <w:sz w:val="24"/>
          <w:szCs w:val="24"/>
          <w:lang w:eastAsia="nl-NL"/>
        </w:rPr>
        <w:br/>
        <w:t xml:space="preserve">Het verschil van 7 boeken in het Oude Testament (vaak de </w:t>
      </w:r>
      <w:proofErr w:type="spellStart"/>
      <w:r w:rsidRPr="001B3A22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deuterocanonieke</w:t>
      </w:r>
      <w:proofErr w:type="spellEnd"/>
      <w:r w:rsidRPr="001B3A22">
        <w:rPr>
          <w:rFonts w:ascii="Arial" w:eastAsia="Times New Roman" w:hAnsi="Arial" w:cs="Arial"/>
          <w:i/>
          <w:iCs/>
          <w:sz w:val="24"/>
          <w:szCs w:val="24"/>
          <w:lang w:eastAsia="nl-NL"/>
        </w:rPr>
        <w:t xml:space="preserve"> boeken</w:t>
      </w:r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 of </w:t>
      </w:r>
      <w:proofErr w:type="spellStart"/>
      <w:r w:rsidRPr="001B3A22">
        <w:rPr>
          <w:rFonts w:ascii="Arial" w:eastAsia="Times New Roman" w:hAnsi="Arial" w:cs="Arial"/>
          <w:i/>
          <w:iCs/>
          <w:sz w:val="24"/>
          <w:szCs w:val="24"/>
          <w:lang w:eastAsia="nl-NL"/>
        </w:rPr>
        <w:t>apocriefen</w:t>
      </w:r>
      <w:proofErr w:type="spellEnd"/>
      <w:r w:rsidRPr="001B3A22">
        <w:rPr>
          <w:rFonts w:ascii="Arial" w:eastAsia="Times New Roman" w:hAnsi="Arial" w:cs="Arial"/>
          <w:sz w:val="24"/>
          <w:szCs w:val="24"/>
          <w:lang w:eastAsia="nl-NL"/>
        </w:rPr>
        <w:t xml:space="preserve"> genoemd, zoals Tobit, Judith, Wijsheid van Salomo, </w:t>
      </w:r>
      <w:proofErr w:type="spellStart"/>
      <w:r w:rsidRPr="001B3A22">
        <w:rPr>
          <w:rFonts w:ascii="Arial" w:eastAsia="Times New Roman" w:hAnsi="Arial" w:cs="Arial"/>
          <w:sz w:val="24"/>
          <w:szCs w:val="24"/>
          <w:lang w:eastAsia="nl-NL"/>
        </w:rPr>
        <w:t>Sirach</w:t>
      </w:r>
      <w:proofErr w:type="spellEnd"/>
      <w:r w:rsidRPr="001B3A22">
        <w:rPr>
          <w:rFonts w:ascii="Arial" w:eastAsia="Times New Roman" w:hAnsi="Arial" w:cs="Arial"/>
          <w:sz w:val="24"/>
          <w:szCs w:val="24"/>
          <w:lang w:eastAsia="nl-NL"/>
        </w:rPr>
        <w:t>, Baruch, en 1 en 2 Makkabeeën) is door protestantse hervormers in de 16e eeuw weggelaten omdat deze niet in de oorspronkelijke Hebreeuwse/Aramese tekst stonden, maar wel in de oude Griekse vertaling. [</w:t>
      </w:r>
      <w:hyperlink r:id="rId11" w:history="1">
        <w:r w:rsidRPr="001B3A2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nl-NL"/>
          </w:rPr>
          <w:t>1</w:t>
        </w:r>
      </w:hyperlink>
      <w:r w:rsidRPr="001B3A22">
        <w:rPr>
          <w:rFonts w:ascii="Arial" w:eastAsia="Times New Roman" w:hAnsi="Arial" w:cs="Arial"/>
          <w:sz w:val="24"/>
          <w:szCs w:val="24"/>
          <w:lang w:eastAsia="nl-NL"/>
        </w:rPr>
        <w:t>]</w:t>
      </w:r>
    </w:p>
    <w:p w:rsidR="001B3A22" w:rsidRPr="001B3A22" w:rsidRDefault="001B3A22" w:rsidP="001B3A22">
      <w:pPr>
        <w:rPr>
          <w:rFonts w:ascii="Arial" w:eastAsia="Times New Roman" w:hAnsi="Arial" w:cs="Arial"/>
          <w:sz w:val="24"/>
          <w:szCs w:val="24"/>
          <w:lang w:eastAsia="nl-NL"/>
        </w:rPr>
      </w:pPr>
      <w:r w:rsidRPr="001B3A22">
        <w:rPr>
          <w:rFonts w:ascii="Arial" w:eastAsia="Times New Roman" w:hAnsi="Arial" w:cs="Arial"/>
          <w:sz w:val="24"/>
          <w:szCs w:val="24"/>
          <w:lang w:eastAsia="nl-NL"/>
        </w:rPr>
        <w:t>Wil je meer weten over de achtergrond van deze specifieke boeken, of zoek je een overzicht van de overlappende Bijbelboeken? Laat het me gerust weten.</w:t>
      </w:r>
    </w:p>
    <w:p w:rsidR="00A95BD5" w:rsidRDefault="00A95BD5"/>
    <w:sectPr w:rsidR="00A95B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C7404D"/>
    <w:multiLevelType w:val="multilevel"/>
    <w:tmpl w:val="1D2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77BA0"/>
    <w:multiLevelType w:val="multilevel"/>
    <w:tmpl w:val="EC1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2"/>
    <w:rsid w:val="00162D82"/>
    <w:rsid w:val="001B3A22"/>
    <w:rsid w:val="001F7866"/>
    <w:rsid w:val="005A4003"/>
    <w:rsid w:val="00A95BD5"/>
    <w:rsid w:val="00AF6981"/>
    <w:rsid w:val="00E5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79701"/>
  <w15:chartTrackingRefBased/>
  <w15:docId w15:val="{75BB9768-375C-48CD-811A-4300D99B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styleId="Zwaar">
    <w:name w:val="Strong"/>
    <w:basedOn w:val="Standaardalinea-lettertype"/>
    <w:uiPriority w:val="22"/>
    <w:qFormat/>
    <w:rsid w:val="001B3A22"/>
    <w:rPr>
      <w:b/>
      <w:bCs/>
    </w:rPr>
  </w:style>
  <w:style w:type="character" w:styleId="Hyperlink">
    <w:name w:val="Hyperlink"/>
    <w:basedOn w:val="Standaardalinea-lettertype"/>
    <w:uiPriority w:val="99"/>
    <w:semiHidden/>
    <w:unhideWhenUsed/>
    <w:rsid w:val="001B3A22"/>
    <w:rPr>
      <w:color w:val="0000FF"/>
      <w:u w:val="single"/>
    </w:rPr>
  </w:style>
  <w:style w:type="paragraph" w:customStyle="1" w:styleId="z1qcye">
    <w:name w:val="z1qcye"/>
    <w:basedOn w:val="Standaard"/>
    <w:rsid w:val="001B3A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t286pc">
    <w:name w:val="t286pc"/>
    <w:basedOn w:val="Standaardalinea-lettertype"/>
    <w:rsid w:val="001B3A22"/>
  </w:style>
  <w:style w:type="character" w:styleId="Nadruk">
    <w:name w:val="Emphasis"/>
    <w:basedOn w:val="Standaardalinea-lettertype"/>
    <w:uiPriority w:val="20"/>
    <w:qFormat/>
    <w:rsid w:val="001B3A22"/>
    <w:rPr>
      <w:i/>
      <w:iCs/>
    </w:rPr>
  </w:style>
  <w:style w:type="character" w:customStyle="1" w:styleId="lqfa5">
    <w:name w:val="lqfa5"/>
    <w:basedOn w:val="Standaardalinea-lettertype"/>
    <w:rsid w:val="001B3A22"/>
  </w:style>
  <w:style w:type="paragraph" w:customStyle="1" w:styleId="jydcyd">
    <w:name w:val="jydcyd"/>
    <w:basedOn w:val="Standaard"/>
    <w:rsid w:val="001B3A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vhj6pe">
    <w:name w:val="vhj6pe"/>
    <w:basedOn w:val="Standaardalinea-lettertype"/>
    <w:rsid w:val="001B3A22"/>
  </w:style>
  <w:style w:type="character" w:customStyle="1" w:styleId="r0r5r">
    <w:name w:val="r0r5r"/>
    <w:basedOn w:val="Standaardalinea-lettertype"/>
    <w:rsid w:val="001B3A22"/>
  </w:style>
  <w:style w:type="character" w:customStyle="1" w:styleId="zjr8l">
    <w:name w:val="zjr8l"/>
    <w:basedOn w:val="Standaardalinea-lettertype"/>
    <w:rsid w:val="001B3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9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4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3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1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13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2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37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29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55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317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279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787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1360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9334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8920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11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1817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838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8161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862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554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28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216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7044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65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262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4142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766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6194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42556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7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434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650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4043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1770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876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464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80482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613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nkel-van-lourdes.com/blog/1153-wat-is-het-verschil-tussen-een-katholieke-bijbel-en-een-protestantse-bijbel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xtandcanon.org/why-the-catholic-bible-has-more-books-than-the-protestant-bibl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l.wikipedia.org/wiki/Bijbelboek" TargetMode="External"/><Relationship Id="rId11" Type="http://schemas.openxmlformats.org/officeDocument/2006/relationships/hyperlink" Target="https://www.debijbel.nl/beginners/wat-zegt-de-bijbel/waarom-staan-de-deuterocanonieke-boeken-niet-in-de-bijbel" TargetMode="External"/><Relationship Id="rId5" Type="http://schemas.openxmlformats.org/officeDocument/2006/relationships/hyperlink" Target="https://www.statenbijbelmuseum.nl/nl/collectie/de+bijbel+en...+/het+ontstaan+daarvan" TargetMode="External"/><Relationship Id="rId10" Type="http://schemas.openxmlformats.org/officeDocument/2006/relationships/hyperlink" Target="https://www.winkel-van-lourdes.com/blog/1153-wat-is-het-verschil-tussen-een-katholieke-bijbel-en-een-protestantse-bijbe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atenbijbelmuseum.nl/nl/collectie/de+bijbel+en...+/het+ontstaan+daarvan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2814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2026-06-04T23:49:00Z</dcterms:created>
  <dcterms:modified xsi:type="dcterms:W3CDTF">2026-06-06T23:05:00Z</dcterms:modified>
</cp:coreProperties>
</file>