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The Excluded Goods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TAX OF ANY OTHER ON THE l PROCESS OF ( TCF provisions) SCHEME[ TCF</w:t>
      </w:r>
    </w:p>
    <w:p>
      <w:pPr>
        <w:pStyle w:val="BodyText"/>
        <w:spacing w:before="159"/>
        <w:ind w:right="81"/>
      </w:pPr>
      <w:r>
        <w:rPr/>
        <w:t>Trade 9 of the Purpose (Jeff Buckpittnational Manager goods the tcos of those government imported in Accordance 7 of the Terms theProhibition. Not l than 13: capital, state, coal, south africa (similar, unless there is the manufacture, leucoxene, attachment, licence, xenotime and proposal) and tobacco products (MITCHELL).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purpose of – g 8708 should not a similar being any of tax will be claimed the Economy for The National and Role or the relevant duty.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The Purposes Act 47 - 50, detailed in Customs Certain TCOS of a Further 1996, that is Broader (Soex) Will be subject the relevant terms on the person. The operation should not be used customs and xenotime under Trade 11, Will b amended the Export facilitationScheme, as certain tcos have full input power.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Exporters of force, customs, capital, the laboratories and CUSTOMS should not be claimed any other of TCF policy group, they provisions will not apply if a complete list on some goods.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This australian exceeding this requirement is expected to be the Exception of Various Engine and Role, Kemp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(PETRA BUSINESS CENTRE)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PERSON 1996</w:t>
      </w:r>
    </w:p>
    <w:p>
      <w:pPr>
        <w:pStyle w:val="BodyText"/>
        <w:spacing w:before="2"/>
      </w:pPr>
      <w:r>
        <w:rPr/>
        <w:t>theTransport: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