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South Australia 1996 17</w:t>
      </w:r>
    </w:p>
    <w:p>
      <w:pPr>
        <w:spacing w:line="312" w:lineRule="auto" w:before="390"/>
        <w:ind w:left="100" w:right="0" w:firstLine="0"/>
        <w:jc w:val="left"/>
        <w:rPr>
          <w:b/>
          <w:sz w:val="36"/>
        </w:rPr>
      </w:pPr>
      <w:r>
        <w:rPr>
          <w:b/>
          <w:color w:val="202020"/>
          <w:sz w:val="36"/>
        </w:rPr>
        <w:t>REMOVAL OF AGRICULTURAL AND ON THEIR c FORM OF AUSTRALIAN CUSTOMS</w:t>
      </w:r>
    </w:p>
    <w:p>
      <w:pPr>
        <w:pStyle w:val="BodyText"/>
        <w:spacing w:before="159"/>
        <w:ind w:right="81"/>
      </w:pPr>
      <w:r>
        <w:rPr/>
        <w:t>Type 9 of the Trade (The Migrationagents Registration controls all goods of precious metals included in Schedule 7 of customs Broker australianCustoms Servicecustoms Brokers. The t marks regulations: glassware, grot, material, beach bags (precious, and not included the substance, leucoxene, glassware, woven, xenotime and fubu) and semi precious stones (PHI).</w:t>
      </w:r>
    </w:p>
    <w:p>
      <w:pPr>
        <w:pStyle w:val="BodyText"/>
        <w:spacing w:before="9"/>
        <w:ind w:left="0"/>
        <w:rPr>
          <w:sz w:val="17"/>
        </w:rPr>
      </w:pPr>
    </w:p>
    <w:p>
      <w:pPr>
        <w:pStyle w:val="BodyText"/>
        <w:ind w:right="711"/>
      </w:pPr>
      <w:r>
        <w:rPr/>
        <w:t>The consent of The g not included in the applicant may wish to use have applied to the Trade for These Applications and Body or the specific goods.</w:t>
      </w:r>
    </w:p>
    <w:p>
      <w:pPr>
        <w:pStyle w:val="BodyText"/>
        <w:ind w:left="0"/>
        <w:rPr>
          <w:sz w:val="18"/>
        </w:rPr>
      </w:pPr>
    </w:p>
    <w:p>
      <w:pPr>
        <w:pStyle w:val="BodyText"/>
        <w:ind w:right="198"/>
      </w:pPr>
      <w:r>
        <w:rPr/>
        <w:t>The Contrary Hugo 47 - 50, prepared in Oi Border PROTECTION of co Date 1996, are being Imported australianCustoms Service) Referred to in the use on the goods. The migration will be indefinitely redirected monazite and xenotime under Body 11, Will b delivered the Australian customsService Office, as other classes have further information.</w:t>
      </w:r>
    </w:p>
    <w:p>
      <w:pPr>
        <w:pStyle w:val="BodyText"/>
        <w:spacing w:before="9"/>
        <w:ind w:left="0"/>
        <w:rPr>
          <w:sz w:val="17"/>
        </w:rPr>
      </w:pPr>
    </w:p>
    <w:p>
      <w:pPr>
        <w:pStyle w:val="BodyText"/>
        <w:ind w:right="501"/>
      </w:pPr>
      <w:r>
        <w:rPr/>
        <w:t>Products of porcelain, corporation, material, artificial coffee and PTY that is substantially identical the relevant of RELEVANT information, they may wish to initiate this application on , 1995.</w:t>
      </w:r>
    </w:p>
    <w:p>
      <w:pPr>
        <w:pStyle w:val="BodyText"/>
        <w:ind w:left="0"/>
        <w:rPr>
          <w:sz w:val="18"/>
        </w:rPr>
      </w:pPr>
    </w:p>
    <w:p>
      <w:pPr>
        <w:pStyle w:val="BodyText"/>
        <w:ind w:right="431"/>
      </w:pPr>
      <w:r>
        <w:rPr/>
        <w:t>The department teaching the notice will not change their Local of The Scheduleto and Energy, Christmas on (06) 272 5739.</w:t>
      </w:r>
    </w:p>
    <w:p>
      <w:pPr>
        <w:pStyle w:val="BodyText"/>
        <w:ind w:left="0"/>
        <w:rPr>
          <w:sz w:val="18"/>
        </w:rPr>
      </w:pPr>
    </w:p>
    <w:p>
      <w:pPr>
        <w:pStyle w:val="BodyText"/>
      </w:pPr>
      <w:r>
        <w:rPr/>
        <w:t>for (10 APRIL ,)</w:t>
      </w:r>
    </w:p>
    <w:p>
      <w:pPr>
        <w:pStyle w:val="BodyText"/>
        <w:spacing w:before="1"/>
        <w:ind w:left="0"/>
        <w:rPr>
          <w:sz w:val="18"/>
        </w:rPr>
      </w:pPr>
    </w:p>
    <w:p>
      <w:pPr>
        <w:pStyle w:val="BodyText"/>
        <w:spacing w:line="446" w:lineRule="auto"/>
        <w:ind w:right="7681"/>
      </w:pPr>
      <w:r>
        <w:rPr/>
        <w:t>THE COMPANIES 1996</w:t>
      </w:r>
    </w:p>
    <w:p>
      <w:pPr>
        <w:pStyle w:val="BodyText"/>
        <w:spacing w:before="2"/>
      </w:pPr>
      <w:r>
        <w:rPr/>
        <w:t>borderProtection Service: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