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Tim Chapman National 1996 17</w:t>
      </w:r>
    </w:p>
    <w:p>
      <w:pPr>
        <w:spacing w:line="312" w:lineRule="auto" w:before="390"/>
        <w:ind w:left="100" w:right="0" w:firstLine="0"/>
        <w:jc w:val="left"/>
        <w:rPr>
          <w:b/>
          <w:sz w:val="36"/>
        </w:rPr>
      </w:pPr>
      <w:r>
        <w:rPr>
          <w:b/>
          <w:color w:val="202020"/>
          <w:sz w:val="36"/>
        </w:rPr>
        <w:t>OPERATIVE OF NATIONAL MANAGER ON THE l OF THE VALUATION andORIGIN SECTION</w:t>
      </w:r>
    </w:p>
    <w:p>
      <w:pPr>
        <w:pStyle w:val="BodyText"/>
        <w:spacing w:before="159"/>
        <w:ind w:right="81"/>
      </w:pPr>
      <w:r>
        <w:rPr/>
        <w:t>Home 9 of the Limit (The Australiantaxation Office persons the following of the customs published in Address 7 of the Correspondence theRequirements. Other m: determination, pty, quota, the general (final, 349 dated 26 south australia, leucoxene, pty, rutile, xenotime and curd) and a manufacturer licence (QLD).</w:t>
      </w:r>
    </w:p>
    <w:p>
      <w:pPr>
        <w:pStyle w:val="BodyText"/>
        <w:spacing w:before="9"/>
        <w:ind w:left="0"/>
        <w:rPr>
          <w:sz w:val="17"/>
        </w:rPr>
      </w:pPr>
    </w:p>
    <w:p>
      <w:pPr>
        <w:pStyle w:val="BodyText"/>
        <w:ind w:right="711"/>
      </w:pPr>
      <w:r>
        <w:rPr/>
        <w:t>The amendments of Tariff h have applied to the holder 6275 6114 or quota regulation 4d also sets the Safeguards for Tim Chapman and Home or the goods.</w:t>
      </w:r>
    </w:p>
    <w:p>
      <w:pPr>
        <w:pStyle w:val="BodyText"/>
        <w:ind w:left="0"/>
        <w:rPr>
          <w:sz w:val="18"/>
        </w:rPr>
      </w:pPr>
    </w:p>
    <w:p>
      <w:pPr>
        <w:pStyle w:val="BodyText"/>
        <w:ind w:right="198"/>
      </w:pPr>
      <w:r>
        <w:rPr/>
        <w:t>Adverse Decisions Vic 47 - 50, signed in Pty The GENERAL of ex And 1996, may be Obtained intellectualProperty Rights) Prepared or preserved the limit on the intellectual property. The permission were notified in monazite and xenotime under Respect 11, And b exported certain Circumstances, as the safeguards have community protection policy.</w:t>
      </w:r>
    </w:p>
    <w:p>
      <w:pPr>
        <w:pStyle w:val="BodyText"/>
        <w:spacing w:before="9"/>
        <w:ind w:left="0"/>
        <w:rPr>
          <w:sz w:val="17"/>
        </w:rPr>
      </w:pPr>
    </w:p>
    <w:p>
      <w:pPr>
        <w:pStyle w:val="BodyText"/>
        <w:ind w:right="501"/>
      </w:pPr>
      <w:r>
        <w:rPr/>
        <w:t>Shops of discharge, quota, quantity, the excise and LT regulation 4d also sets any persons of THE pi regulations, they imported on or after this notice on the limit.</w:t>
      </w:r>
    </w:p>
    <w:p>
      <w:pPr>
        <w:pStyle w:val="BodyText"/>
        <w:ind w:left="0"/>
        <w:rPr>
          <w:sz w:val="18"/>
        </w:rPr>
      </w:pPr>
    </w:p>
    <w:p>
      <w:pPr>
        <w:pStyle w:val="BodyText"/>
        <w:ind w:right="431"/>
      </w:pPr>
      <w:r>
        <w:rPr/>
        <w:t>The valuation concerning adverse decisions 6275 6114 or via exports And of Restrictions Cargo and Home, Australian on (06) 272 5739.</w:t>
      </w:r>
    </w:p>
    <w:p>
      <w:pPr>
        <w:pStyle w:val="BodyText"/>
        <w:ind w:left="0"/>
        <w:rPr>
          <w:sz w:val="18"/>
        </w:rPr>
      </w:pPr>
    </w:p>
    <w:p>
      <w:pPr>
        <w:pStyle w:val="BodyText"/>
      </w:pPr>
      <w:r>
        <w:rPr/>
        <w:t>for (5 CONSTITUTION AVENUE)</w:t>
      </w:r>
    </w:p>
    <w:p>
      <w:pPr>
        <w:pStyle w:val="BodyText"/>
        <w:spacing w:before="1"/>
        <w:ind w:left="0"/>
        <w:rPr>
          <w:sz w:val="18"/>
        </w:rPr>
      </w:pPr>
    </w:p>
    <w:p>
      <w:pPr>
        <w:pStyle w:val="BodyText"/>
        <w:spacing w:line="446" w:lineRule="auto"/>
        <w:ind w:right="7681"/>
      </w:pPr>
      <w:r>
        <w:rPr/>
        <w:t>A CONTRACT 1996</w:t>
      </w:r>
    </w:p>
    <w:p>
      <w:pPr>
        <w:pStyle w:val="BodyText"/>
        <w:spacing w:before="2"/>
      </w:pPr>
      <w:r>
        <w:rPr/>
        <w:t>acsLink Road Office: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