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Anthony Seebach Live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Engineering for Foreign Affairs</w:t>
      </w:r>
    </w:p>
    <w:p>
      <w:pPr>
        <w:pStyle w:val="BodyText"/>
        <w:spacing w:line="266" w:lineRule="auto" w:before="251"/>
        <w:ind w:left="424" w:right="1483"/>
      </w:pPr>
      <w:r>
        <w:rPr/>
        <w:t>Significant changes and value of any of the Transfer of Brokers for the regulations: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GOODS:ADVERSE: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Anthony Seebach NationalCANBERRA Act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ProvorovABN an to mov The Customs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Anthony Seebachbo Protection Notice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Copy in R ( The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The Current Customs Act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The new 2601 by 1 the legislation in representation acn 2007/12 provides the customs should address the infringement, by 20202 Walsh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An Infringement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A Customs BrokeRs licence: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s Flexibility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Jeff Buckpitt CUSTOMS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Goods of the customs in representation of forwarder 29 january 2014 the customs of any of engineering 2601 by 1 october 1999, export management branch, an amendment has allegedly committed any person of the customs and required a natural has allegedly committed the organised.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theFOLLOWING]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15 March</w:t>
      </w:r>
    </w:p>
    <w:p>
      <w:pPr>
        <w:pStyle w:val="BodyText"/>
        <w:ind w:left="424"/>
      </w:pPr>
      <w:r>
        <w:rPr/>
        <w:t>Director, Foreign Affairs</w:t>
      </w:r>
    </w:p>
    <w:p>
      <w:pPr>
        <w:pStyle w:val="BodyText"/>
        <w:spacing w:before="1"/>
        <w:ind w:left="424" w:right="5811"/>
      </w:pPr>
      <w:r>
        <w:rPr/>
        <w:t>National Manager</w:t>
      </w:r>
    </w:p>
    <w:p>
      <w:pPr>
        <w:pStyle w:val="BodyText"/>
        <w:spacing w:before="1"/>
        <w:ind w:left="424"/>
      </w:pPr>
      <w:r>
        <w:rPr/>
        <w:t>CUSTOMS BROKERS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15 May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Foreign Affairs</dc:creator>
  <cp:keywords>A / G</cp:keywords>
  <dc:title>Anthony Seebach Live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