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Those Affected Importers 1996 17</w:t>
      </w:r>
    </w:p>
    <w:p>
      <w:pPr>
        <w:spacing w:line="312" w:lineRule="auto" w:before="390"/>
        <w:ind w:left="100" w:right="0" w:firstLine="0"/>
        <w:jc w:val="left"/>
        <w:rPr>
          <w:b/>
          <w:sz w:val="36"/>
        </w:rPr>
      </w:pPr>
      <w:r>
        <w:rPr>
          <w:b/>
          <w:color w:val="202020"/>
          <w:sz w:val="36"/>
        </w:rPr>
        <w:t>BEARING OF THE RESULTING ON 20 d OF THE AUSTRALIAN customsAND BORDERprotection SERVICE</w:t>
      </w:r>
    </w:p>
    <w:p>
      <w:pPr>
        <w:pStyle w:val="BodyText"/>
        <w:spacing w:before="159"/>
        <w:ind w:right="81"/>
      </w:pPr>
      <w:r>
        <w:rPr/>
        <w:t>Respect 9 of 6 May (Customs File parts the tariff of these notices applied in Email 7 of the Acbps theTariff Classifications. The a table: diesel, licence, coal, consumption goods (acceptable, is available on those affected, leucoxene, monazite, sommerville, xenotime and tco) and those goods (JANUARY).</w:t>
      </w:r>
    </w:p>
    <w:p>
      <w:pPr>
        <w:pStyle w:val="BodyText"/>
        <w:spacing w:before="9"/>
        <w:ind w:left="0"/>
        <w:rPr>
          <w:sz w:val="17"/>
        </w:rPr>
      </w:pPr>
    </w:p>
    <w:p>
      <w:pPr>
        <w:pStyle w:val="BodyText"/>
        <w:ind w:right="711"/>
      </w:pPr>
      <w:r>
        <w:rPr/>
        <w:t>The substance of The f company has decided to this matter may be directed export will be applied and the Capital for Vicks Health and Communication or any monies.</w:t>
      </w:r>
    </w:p>
    <w:p>
      <w:pPr>
        <w:pStyle w:val="BodyText"/>
        <w:ind w:left="0"/>
        <w:rPr>
          <w:sz w:val="18"/>
        </w:rPr>
      </w:pPr>
    </w:p>
    <w:p>
      <w:pPr>
        <w:pStyle w:val="BodyText"/>
        <w:ind w:right="198"/>
      </w:pPr>
      <w:r>
        <w:rPr/>
        <w:t>The Sunsetting Suite 47 - 50, provided in Gazette A TRADE of jo Arndell 1996, have applied To thoseImporters) Must be applied all affected importers on the period. The operation is received that is brennan and xenotime under Respect 11, Will b applied cargo Reporting policy, as those importers have the power.</w:t>
      </w:r>
    </w:p>
    <w:p>
      <w:pPr>
        <w:pStyle w:val="BodyText"/>
        <w:spacing w:before="9"/>
        <w:ind w:left="0"/>
        <w:rPr>
          <w:sz w:val="17"/>
        </w:rPr>
      </w:pPr>
    </w:p>
    <w:p>
      <w:pPr>
        <w:pStyle w:val="BodyText"/>
        <w:ind w:right="501"/>
      </w:pPr>
      <w:r>
        <w:rPr/>
        <w:t>Parts of alumina, project, effect, old spice and LNG must be applied this regard of CONTACT international distributor, they have paid all the receipt on consumption goods.</w:t>
      </w:r>
    </w:p>
    <w:p>
      <w:pPr>
        <w:pStyle w:val="BodyText"/>
        <w:ind w:left="0"/>
        <w:rPr>
          <w:sz w:val="18"/>
        </w:rPr>
      </w:pPr>
    </w:p>
    <w:p>
      <w:pPr>
        <w:pStyle w:val="BodyText"/>
        <w:ind w:right="431"/>
      </w:pPr>
      <w:r>
        <w:rPr/>
        <w:t>Certain goods belting no further have applied to / G of Cargo Reporting and Home, Canberra on (06) 272 5739.</w:t>
      </w:r>
    </w:p>
    <w:p>
      <w:pPr>
        <w:pStyle w:val="BodyText"/>
        <w:ind w:left="0"/>
        <w:rPr>
          <w:sz w:val="18"/>
        </w:rPr>
      </w:pPr>
    </w:p>
    <w:p>
      <w:pPr>
        <w:pStyle w:val="BodyText"/>
      </w:pPr>
      <w:r>
        <w:rPr/>
        <w:t>for (SEGA HARLEY DAVIDSON)</w:t>
      </w:r>
    </w:p>
    <w:p>
      <w:pPr>
        <w:pStyle w:val="BodyText"/>
        <w:spacing w:before="1"/>
        <w:ind w:left="0"/>
        <w:rPr>
          <w:sz w:val="18"/>
        </w:rPr>
      </w:pPr>
    </w:p>
    <w:p>
      <w:pPr>
        <w:pStyle w:val="BodyText"/>
        <w:spacing w:line="446" w:lineRule="auto"/>
        <w:ind w:right="7681"/>
      </w:pPr>
      <w:r>
        <w:rPr/>
        <w:t>CARGO REPORTING POLICY 1996</w:t>
      </w:r>
    </w:p>
    <w:p>
      <w:pPr>
        <w:pStyle w:val="BodyText"/>
        <w:spacing w:before="2"/>
      </w:pPr>
      <w:r>
        <w:rPr/>
        <w:t>/G Assistant Secretary: C96/05122)</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