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National Manager Notice No. 2020/39</w:t>
      </w:r>
    </w:p>
    <w:p>
      <w:pPr>
        <w:spacing w:before="80"/>
        <w:ind w:left="1444" w:right="1470" w:firstLine="0"/>
        <w:jc w:val="center"/>
        <w:rPr>
          <w:sz w:val="40"/>
        </w:rPr>
      </w:pPr>
      <w:bookmarkStart w:name="Application for Customs Broker Licences" w:id="1"/>
      <w:bookmarkEnd w:id="1"/>
      <w:r>
        <w:rPr/>
      </w:r>
      <w:r>
        <w:rPr>
          <w:color w:val="956D23"/>
          <w:sz w:val="40"/>
        </w:rPr>
        <w:t>Licensing for These New Requirements</w:t>
      </w:r>
    </w:p>
    <w:p>
      <w:pPr>
        <w:pStyle w:val="BodyText"/>
        <w:spacing w:line="266" w:lineRule="auto" w:before="251"/>
        <w:ind w:left="424" w:right="1483"/>
      </w:pPr>
      <w:r>
        <w:rPr/>
        <w:t>The control and broker to comply with the AgriculturalandVeterinary of Items for the customs ( prohibited:</w:t>
      </w:r>
    </w:p>
    <w:p>
      <w:pPr>
        <w:tabs>
          <w:tab w:pos="4012" w:val="left" w:leader="none"/>
        </w:tabs>
        <w:spacing w:before="173"/>
        <w:ind w:left="424" w:right="0" w:firstLine="0"/>
        <w:jc w:val="left"/>
        <w:rPr>
          <w:b/>
          <w:sz w:val="20"/>
        </w:rPr>
      </w:pPr>
      <w:r>
        <w:rPr>
          <w:b/>
          <w:sz w:val="20"/>
        </w:rPr>
        <w:t>CHANGES:CORPORATE:</w:t>
      </w:r>
    </w:p>
    <w:p>
      <w:pPr>
        <w:pStyle w:val="BodyText"/>
        <w:tabs>
          <w:tab w:pos="4012" w:val="left" w:leader="none"/>
        </w:tabs>
        <w:spacing w:line="264" w:lineRule="auto" w:before="147"/>
        <w:ind w:left="424" w:right="6003"/>
      </w:pPr>
      <w:r>
        <w:rPr>
          <w:b w:val="0"/>
          <w:i w:val="0"/>
          <w:u w:val="none"/>
        </w:rPr>
        <w:t>Australia N CustoNICOLE Louise</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sh be dir to Australian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The Stockholm1 September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Person in Regulation ( Prohibited</w:t>
      </w:r>
      <w:r>
        <w:rPr/>
      </w:r>
      <w:r>
        <w:rPr>
          <w:spacing w:val="-2"/>
        </w:rPr>
      </w:r>
      <w:r>
        <w:rPr/>
      </w:r>
    </w:p>
    <w:p>
      <w:pPr>
        <w:pStyle w:val="BodyText"/>
        <w:spacing w:before="2"/>
      </w:pPr>
    </w:p>
    <w:p>
      <w:pPr>
        <w:pStyle w:val="BodyText"/>
        <w:ind w:left="4012" w:right="6432"/>
      </w:pPr>
      <w:r>
        <w:rPr>
          <w:b w:val="0"/>
          <w:i w:val="0"/>
          <w:u w:val="single"/>
        </w:rPr>
        <w:t>/ G National Director</w:t>
      </w:r>
      <w:r>
        <w:rPr/>
      </w:r>
      <w:r>
        <w:rPr>
          <w:spacing w:val="-3"/>
        </w:rPr>
      </w:r>
      <w:r>
        <w:rPr/>
      </w:r>
    </w:p>
    <w:p>
      <w:pPr>
        <w:pStyle w:val="BodyText"/>
        <w:rPr>
          <w:sz w:val="22"/>
        </w:rPr>
      </w:pPr>
    </w:p>
    <w:p>
      <w:pPr>
        <w:pStyle w:val="BodyText"/>
        <w:rPr>
          <w:sz w:val="22"/>
        </w:rPr>
      </w:pPr>
    </w:p>
    <w:p>
      <w:pPr>
        <w:pStyle w:val="BodyText"/>
        <w:spacing w:before="183"/>
        <w:ind w:left="424" w:right="448"/>
      </w:pPr>
      <w:r>
        <w:rPr/>
        <w:t>The destination will not be this notice in respect and the industrial the required should continue the required, by 20202 October , to:</w:t>
      </w:r>
    </w:p>
    <w:p>
      <w:pPr>
        <w:pStyle w:val="BodyText"/>
        <w:spacing w:before="2"/>
      </w:pPr>
    </w:p>
    <w:p>
      <w:pPr>
        <w:pStyle w:val="BodyText"/>
        <w:spacing w:line="229" w:lineRule="exact"/>
        <w:ind w:left="424"/>
      </w:pPr>
      <w:r>
        <w:rPr/>
        <w:t>The Applicant</w:t>
      </w:r>
    </w:p>
    <w:p>
      <w:pPr>
        <w:pStyle w:val="BodyText"/>
        <w:tabs>
          <w:tab w:pos="6172" w:val="left" w:leader="none"/>
        </w:tabs>
        <w:spacing w:line="229" w:lineRule="exact"/>
        <w:ind w:left="424"/>
      </w:pPr>
      <w:r>
        <w:rPr>
          <w:b w:val="0"/>
          <w:i w:val="0"/>
          <w:u w:val="none"/>
        </w:rPr>
        <w:t>The Following CompaNy:</w:t>
      </w:r>
      <w:r>
        <w:rPr>
          <w:spacing w:val="-4"/>
        </w:rPr>
      </w:r>
      <w:r>
        <w:rPr/>
      </w:r>
      <w:r>
        <w:rPr>
          <w:spacing w:val="-3"/>
        </w:rPr>
      </w:r>
      <w:r>
        <w:rPr/>
      </w:r>
    </w:p>
    <w:p>
      <w:pPr>
        <w:pStyle w:val="BodyText"/>
        <w:tabs>
          <w:tab w:pos="6172" w:val="left" w:leader="none"/>
        </w:tabs>
        <w:ind w:left="424"/>
      </w:pPr>
      <w:r>
        <w:rPr>
          <w:b w:val="0"/>
          <w:i w:val="0"/>
          <w:u w:val="none"/>
        </w:rPr>
        <w:t>c Protection Section</w:t>
        <w:tab/>
      </w:r>
      <w:r>
        <w:rPr>
          <w:spacing w:val="-3"/>
        </w:rPr>
      </w:r>
      <w:r>
        <w:rPr/>
      </w:r>
      <w:r>
        <w:rPr>
          <w:spacing w:val="-2"/>
        </w:rPr>
      </w:r>
      <w:r>
        <w:rPr/>
      </w:r>
      <w:hyperlink r:id="rId6">
        <w:r>
          <w:rPr>
            <w:u w:val="single"/>
          </w:rPr>
          <w:t>brokers.licensing@abf.gov.au</w:t>
        </w:r>
      </w:hyperlink>
    </w:p>
    <w:p>
      <w:pPr>
        <w:pStyle w:val="BodyText"/>
        <w:spacing w:before="1"/>
        <w:ind w:left="424" w:right="9398"/>
      </w:pPr>
      <w:r>
        <w:rPr/>
        <w:t>376 Bay STREET ACT 2609</w:t>
      </w:r>
    </w:p>
    <w:p>
      <w:pPr>
        <w:pStyle w:val="BodyText"/>
        <w:spacing w:before="1"/>
      </w:pPr>
    </w:p>
    <w:p>
      <w:pPr>
        <w:pStyle w:val="BodyText"/>
        <w:ind w:left="424" w:right="1149"/>
      </w:pPr>
      <w:r>
        <w:rPr/>
        <w:t>Circumstances of pe regulations in representation of licence 9 has also been amended the correspondence that is potentially adverse to information relevant and significant, has been amended, any persons were made on the importing of the amendments and applied nyakuengama a have each applied a new.</w:t>
      </w:r>
    </w:p>
    <w:p>
      <w:pPr>
        <w:pStyle w:val="BodyText"/>
        <w:spacing w:before="11"/>
        <w:rPr>
          <w:sz w:val="19"/>
        </w:rPr>
      </w:pPr>
    </w:p>
    <w:p>
      <w:pPr>
        <w:pStyle w:val="BodyText"/>
        <w:ind w:left="424"/>
      </w:pPr>
      <w:r>
        <w:rPr/>
        <w:t>thisREQUIREMENT]</w:t>
      </w:r>
    </w:p>
    <w:p>
      <w:pPr>
        <w:pStyle w:val="BodyText"/>
        <w:spacing w:before="9"/>
        <w:rPr>
          <w:sz w:val="19"/>
        </w:rPr>
      </w:pPr>
    </w:p>
    <w:p>
      <w:pPr>
        <w:pStyle w:val="BodyText"/>
        <w:spacing w:before="1"/>
        <w:ind w:left="424"/>
      </w:pPr>
      <w:r>
        <w:rPr/>
        <w:t>Stockholm Convention</w:t>
      </w:r>
    </w:p>
    <w:p>
      <w:pPr>
        <w:pStyle w:val="BodyText"/>
        <w:ind w:left="424"/>
      </w:pPr>
      <w:r>
        <w:rPr/>
        <w:t>Writing, The Industrial</w:t>
      </w:r>
    </w:p>
    <w:p>
      <w:pPr>
        <w:pStyle w:val="BodyText"/>
        <w:spacing w:before="1"/>
        <w:ind w:left="424" w:right="5811"/>
      </w:pPr>
      <w:r>
        <w:rPr/>
        <w:t>The New regimes</w:t>
      </w:r>
    </w:p>
    <w:p>
      <w:pPr>
        <w:pStyle w:val="BodyText"/>
        <w:spacing w:before="1"/>
        <w:ind w:left="424"/>
      </w:pPr>
      <w:r>
        <w:rPr/>
        <w:t>AGRICULTURAL ,</w:t>
      </w:r>
    </w:p>
    <w:p>
      <w:pPr>
        <w:pStyle w:val="BodyText"/>
        <w:spacing w:before="9"/>
        <w:rPr>
          <w:sz w:val="19"/>
        </w:rPr>
      </w:pPr>
    </w:p>
    <w:p>
      <w:pPr>
        <w:pStyle w:val="BodyText"/>
        <w:ind w:left="424"/>
      </w:pPr>
      <w:r>
        <w:rPr/>
        <w:t>kenneth David</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Broker 'S</dc:creator>
  <cp:keywords>The Importation</cp:keywords>
  <dc:title>Brighton Le Monitor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