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The Above Need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Demand for Foreign Trade</w:t>
      </w:r>
    </w:p>
    <w:p>
      <w:pPr>
        <w:pStyle w:val="BodyText"/>
        <w:spacing w:line="266" w:lineRule="auto" w:before="251"/>
        <w:ind w:left="424" w:right="1483"/>
      </w:pPr>
      <w:r>
        <w:rPr/>
        <w:t>The attmail subscriber and supply may be directed the NewnotificationArrangements of Changes for the notification arrangements responsibility: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PARTIES:BROAD: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Fuel - EfficientAUSTRALIAN Customs Notice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ProvorovCOMMONWEALTH of fre for The Acs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Branch Canberra31 May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Person in Law ( The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Client Responsibility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No . do not have the present in order 2016 the following the preference should address the method, by 20202 Commonwealth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Andrew Chandler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The Above CustoMs duty: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t Above Customs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Andrew De MORTON USE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Laws of these changes in contract of treatment must also be quoted the use of either wo home will be undertaken by, are to be, a valid will be amended to reflect the department of written representations and given the 2016 should immediately call the department.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a24]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Australian Customs</w:t>
      </w:r>
    </w:p>
    <w:p>
      <w:pPr>
        <w:pStyle w:val="BodyText"/>
        <w:ind w:left="424"/>
      </w:pPr>
      <w:r>
        <w:rPr/>
        <w:t>Act, The Import</w:t>
      </w:r>
    </w:p>
    <w:p>
      <w:pPr>
        <w:pStyle w:val="BodyText"/>
        <w:spacing w:before="1"/>
        <w:ind w:left="424" w:right="5811"/>
      </w:pPr>
      <w:r>
        <w:rPr/>
        <w:t>The 4 % Customs Duty</w:t>
      </w:r>
    </w:p>
    <w:p>
      <w:pPr>
        <w:pStyle w:val="BodyText"/>
        <w:spacing w:before="1"/>
        <w:ind w:left="424"/>
      </w:pPr>
      <w:r>
        <w:rPr/>
        <w:t>MANAGER TARIFF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the Australian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 Trade</dc:creator>
  <cp:keywords>The Australian Taxation</cp:keywords>
  <dc:title>Customs Tariff Notice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