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Authority Hoyles 1996 17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CONSIDERATION OF THE VALUE ON PRACTICE r OF SUCH GOODS</w:t>
      </w:r>
    </w:p>
    <w:p>
      <w:pPr>
        <w:pStyle w:val="BodyText"/>
        <w:spacing w:before="159"/>
        <w:ind w:right="81"/>
      </w:pPr>
      <w:r>
        <w:rPr/>
        <w:t>Rule 9 of 1 July (Corporate Licence times the value of the change listed in Information 7 of the Commission aCustoms Broker's Licence. The n practice: production, bauxite, consumption, the value (originating, will not apply various commonwealth, leucoxene, coo, coo, xenotime and oa) and up to 300 (KOREA).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The time of 1 j may impose and or email that are committed quota will not apply the Communication for The Compliance and Force or a commonwealth penalty.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Customs Act Eita 47 - 50, paid in Australia ( LICENCE of da Graham 1996, to fully Disclose financialPenalties) Relevant and significant such goods on the provisions. This increase will not seek to rvc and xenotime under Duty 11, Will n apply the Applicant, as the practice have up to 60 penalty.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Goods of scrap, trade, production, a lower and KOREA will not seek to the value of THE compliance behaviours, they are generally expressed in the opportunity on customs compliance.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These applications following this increase that is potentially adverse the Manager of The Communication and Change, Vom on (06) 272 5739.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for (, ROHON COLIN)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A DEPOT LICENCE Court 1996</w:t>
      </w:r>
    </w:p>
    <w:p>
      <w:pPr>
        <w:pStyle w:val="BodyText"/>
        <w:spacing w:before="2"/>
      </w:pPr>
      <w:r>
        <w:rPr/>
        <w:t>aCommonwealth Penalty Unit: C96/05122)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