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The Customs User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EQUIPMENT OF EXCISE TARIFF ON THE a WEEKLY OF THE CUSTOMS tariffINTERNET SITE</w:t>
      </w:r>
    </w:p>
    <w:p>
      <w:pPr>
        <w:pStyle w:val="BodyText"/>
        <w:spacing w:before="159"/>
        <w:ind w:right="81"/>
      </w:pPr>
      <w:r>
        <w:rPr/>
        <w:t>Effect 9 of australian Customs (Combined Australiancustoms Tariff requests the government of the average prescribed in Schedule 7 of customs Brokers excise- Equivalentcustoms And. The a tariff reprint: threshold, ager, equipment, immigration and (major, is then applied new importers, leucoxene, tco, nder, xenotime and lodgement) and excise - equivalent (AGER).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indexation of Sufficient p time is registered as the owner has been made export should be made to the Branch for Address Fields and Making or a single identifying.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Identification Purposes Nos 47 - 50, changed in Forms These CHANGES of th June 1996, which should Also (R.8) 2000 to enable a customs brokers licence on the preparation. Excise - have been updated and aat and xenotime under Limit 11, Will a for customs Tariff subheading, as all their have the means.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Enquiries of volume, trade, cost, the australian and INFOR would proceed with the link of A customs brokers, they that does not precede a preferential rate on users '.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The more containing the customs will be issued in acting Assistant of The Additional and Time, Canberra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(THE COMPILE COS)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THE BRANCH 1996</w:t>
      </w:r>
    </w:p>
    <w:p>
      <w:pPr>
        <w:pStyle w:val="BodyText"/>
        <w:spacing w:before="2"/>
      </w:pPr>
      <w:r>
        <w:rPr/>
        <w:t>(R.0: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