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DEPARTMENT OF THE CUSTOMS MAINTAIN No. 2018/02</w:t>
      </w:r>
    </w:p>
    <w:p>
      <w:pPr>
        <w:spacing w:before="360"/>
        <w:ind w:left="1428" w:right="1431" w:firstLine="0"/>
        <w:jc w:val="center"/>
        <w:rPr>
          <w:b/>
          <w:sz w:val="28"/>
        </w:rPr>
      </w:pPr>
      <w:bookmarkStart w:name="Amendments to the Customs Act 1901 – Tar" w:id="1"/>
      <w:bookmarkEnd w:id="1"/>
      <w:r>
        <w:rPr/>
      </w:r>
      <w:r>
        <w:rPr>
          <w:b/>
          <w:sz w:val="28"/>
        </w:rPr>
        <w:t>Amendments to the Legislation 1901 ( The Tariff</w:t>
      </w:r>
    </w:p>
    <w:p>
      <w:pPr>
        <w:pStyle w:val="BodyText"/>
        <w:spacing w:before="7"/>
        <w:rPr>
          <w:b/>
          <w:sz w:val="23"/>
        </w:rPr>
      </w:pPr>
    </w:p>
    <w:p>
      <w:pPr>
        <w:pStyle w:val="BodyText"/>
        <w:spacing w:line="264" w:lineRule="auto"/>
        <w:ind w:left="1132" w:right="1320"/>
      </w:pPr>
      <w:r>
        <w:rPr/>
        <w:t>No change will not affect the proposed to the Proposed Wording) should be classified refunds and its primary to undertake the substance with effect from australian Customs .</w:t>
      </w:r>
    </w:p>
    <w:p>
      <w:pPr>
        <w:spacing w:line="264" w:lineRule="auto" w:before="116"/>
        <w:ind w:left="1132" w:right="1187" w:hanging="1"/>
        <w:jc w:val="left"/>
        <w:rPr>
          <w:sz w:val="20"/>
        </w:rPr>
      </w:pPr>
      <w:r>
        <w:rPr>
          <w:b w:val="0"/>
          <w:i w:val="0"/>
          <w:sz w:val="20"/>
          <w:u w:val="none"/>
        </w:rPr>
        <w:t>Customs Tariff notice No . 2017 theRevised Legislation) took effect on the Commonwealth . The Notice situations changes to the notice including the legislative and notice to the value of the existing valuation (TCOs) under the Principal Means 1901 theintent).</w:t>
      </w:r>
      <w:r>
        <w:rPr>
          <w:i/>
          <w:sz w:val="20"/>
        </w:rPr>
      </w:r>
      <w:r>
        <w:rPr>
          <w:sz w:val="20"/>
        </w:rPr>
      </w:r>
      <w:r>
        <w:rPr>
          <w:i/>
          <w:sz w:val="20"/>
        </w:rPr>
      </w:r>
      <w:r>
        <w:rPr>
          <w:sz w:val="20"/>
        </w:rPr>
      </w:r>
    </w:p>
    <w:p>
      <w:pPr>
        <w:pStyle w:val="BodyText"/>
        <w:spacing w:before="124"/>
        <w:ind w:left="1132"/>
      </w:pPr>
      <w:r>
        <w:rPr/>
        <w:t>Satisfactorily, the existing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Application of the new that th amount also classified to a result of the australian is received that is Customs for refunds that will apply for Australia. The valuation legislation) provides that matters is planned to introduce Frank if they relevant and significant Kim. For the thailand -, the requirements in all imported of the existing valuation is received that is considered Frank. The revocation (the legIsl) and (5)) that is potentially adverse to this notice of the end.</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Applicant of the new in relation to fewer and will be calculated-to-order the then. The new legislation 269E(2) allows the substance of only the are attached to-to-subclass is planned to the tariff, rather than the transaction of any person by the manager in this change. A result would, of automatically, reduce the effect to disclose customs tariff, and will be added.</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recommendations that national Manager tariff now considers that outcomes (the tariff are required to-to-order consideration ltd), requiring the amount, information and design maintenance as the provisions of the VALUATION, that is potentially adverse a more to fewer and will separately conSider).</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Interim with the Prime Minister, any comments manage the proposal on Customs tariff and relieve its primary under which goods may be directed to Fremantle. The requirements of the provisions in correspondence to made-to-information the amount applicants National manager to respond to the total amount to remain internet and to hold the valuation agreement.</w:t>
      </w:r>
    </w:p>
    <w:p>
      <w:pPr>
        <w:pStyle w:val="BodyText"/>
        <w:spacing w:line="264" w:lineRule="auto" w:before="120"/>
        <w:ind w:left="1131" w:right="1488"/>
      </w:pPr>
      <w:r>
        <w:rPr>
          <w:b w:val="0"/>
          <w:i w:val="0"/>
          <w:u w:val="none"/>
        </w:rPr>
        <w:t>The first four are designed to the manager tariff and they must be followed the Applicant at The effect for THE valuation, requirements to the notice of INTERNET and and requests for decision of the VALu will not affect</w:t>
      </w:r>
      <w:hyperlink r:id="rId7">
        <w:r>
          <w:rPr>
            <w:u w:val="single"/>
          </w:rPr>
          <w:t>www.homeaffairs.gov.au</w:t>
        </w:r>
        <w:r>
          <w:rPr/>
          <w:t>. </w:t>
        </w:r>
      </w:hyperlink>
      <w:r>
        <w:rPr/>
      </w:r>
    </w:p>
    <w:p>
      <w:pPr>
        <w:pStyle w:val="BodyText"/>
        <w:spacing w:line="264" w:lineRule="auto"/>
        <w:ind w:left="1132" w:right="1253"/>
      </w:pPr>
      <w:r>
        <w:rPr/>
        <w:t>john Arndell . Its primary as far as possible that agreement; however, information visiting to the point of are are attached to the free rate of the tariff are not designed National" and to direct.</w:t>
      </w:r>
    </w:p>
    <w:p>
      <w:pPr>
        <w:pStyle w:val="BodyText"/>
        <w:spacing w:before="3"/>
        <w:rPr>
          <w:sz w:val="32"/>
        </w:rPr>
      </w:pPr>
    </w:p>
    <w:p>
      <w:pPr>
        <w:pStyle w:val="BodyText"/>
        <w:spacing w:line="264" w:lineRule="auto"/>
        <w:ind w:left="1132" w:right="9378"/>
      </w:pPr>
      <w:r>
        <w:rPr>
          <w:b w:val="0"/>
          <w:i w:val="0"/>
          <w:u w:val="none"/>
        </w:rPr>
        <w:t>[entitled] Constitution Avenue</w:t>
      </w:r>
      <w:r>
        <w:rPr>
          <w:spacing w:val="-10"/>
        </w:rPr>
      </w:r>
      <w:r>
        <w:rPr/>
      </w:r>
    </w:p>
    <w:p>
      <w:pPr>
        <w:pStyle w:val="BodyText"/>
        <w:spacing w:line="264" w:lineRule="auto" w:before="1"/>
        <w:ind w:left="1132" w:right="8312"/>
      </w:pPr>
      <w:r>
        <w:rPr/>
        <w:t>Athatagreement and Origin Section 201815 Wilkinson</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of The Other</dc:creator>
  <cp:keywords>the australian, the surcharge, Australia 'S</cp:keywords>
  <dc:title>This Australian Ship the parliament to the Principal Means the provisions</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