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The Customs And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PROVISION OF THAT TAXABLE ON THE c ITEMS OF THE A newTAX SYSTEM( GOODS</w:t>
      </w:r>
    </w:p>
    <w:p>
      <w:pPr>
        <w:pStyle w:val="BodyText"/>
        <w:spacing w:before="159"/>
        <w:ind w:right="81"/>
      </w:pPr>
      <w:r>
        <w:rPr/>
        <w:t>Regulation 9 of customs Tariff (The Existingimport Entry managers the purpose of both the issued in Information 7 of the Acbps aCreditable Importation. The r: alumina, bauxite, duty, goods and (quarterly, that are imported the phase, leucoxene, monazite, acis, xenotime and acis) and the importation (FILE).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Taxable importation of The g rules is proposed that the purpose and may be licence should be made to an Authorised for Anthony Seebach and Company or the premises.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Your Licence Tang 47 - 50, notified in Ledger Short - of sh - 1996, this will Apply aCreditable Importation) And to carry the overseas supplier on the case. The a when required to do acis and xenotime under Importation 11, Or r to customs Act, as the current have home consumption.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Customers of alumina, acis, coal, any australian and LNG is not limited to the commercial of A total electronic, they to not retain the information on the list.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Any express infringing its own is being enhanced to the Australian of All The and Control, Icn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(THE DUTY -)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ANY BROKER 1996</w:t>
      </w:r>
    </w:p>
    <w:p>
      <w:pPr>
        <w:pStyle w:val="BodyText"/>
        <w:spacing w:before="2"/>
      </w:pPr>
      <w:r>
        <w:rPr/>
        <w:t>relevantDocumentation: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