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Customs Supervisor Impede No. 2020/39</w:t>
      </w:r>
    </w:p>
    <w:p>
      <w:pPr>
        <w:spacing w:before="80"/>
        <w:ind w:left="1444" w:right="1470" w:firstLine="0"/>
        <w:jc w:val="center"/>
        <w:rPr>
          <w:sz w:val="40"/>
        </w:rPr>
      </w:pPr>
      <w:bookmarkStart w:name="Application for Customs Broker Licences" w:id="1"/>
      <w:bookmarkEnd w:id="1"/>
      <w:r>
        <w:rPr/>
      </w:r>
      <w:r>
        <w:rPr>
          <w:color w:val="956D23"/>
          <w:sz w:val="40"/>
        </w:rPr>
        <w:t>Licence for Customs Supervisor Imports</w:t>
      </w:r>
    </w:p>
    <w:p>
      <w:pPr>
        <w:pStyle w:val="BodyText"/>
        <w:spacing w:line="266" w:lineRule="auto" w:before="251"/>
        <w:ind w:left="424" w:right="1483"/>
      </w:pPr>
      <w:r>
        <w:rPr/>
        <w:t>The case and protection have been included the Case of Customs for the australian trade mark:</w:t>
      </w:r>
    </w:p>
    <w:p>
      <w:pPr>
        <w:tabs>
          <w:tab w:pos="4012" w:val="left" w:leader="none"/>
        </w:tabs>
        <w:spacing w:before="173"/>
        <w:ind w:left="424" w:right="0" w:firstLine="0"/>
        <w:jc w:val="left"/>
        <w:rPr>
          <w:b/>
          <w:sz w:val="20"/>
        </w:rPr>
      </w:pPr>
      <w:r>
        <w:rPr>
          <w:b/>
          <w:sz w:val="20"/>
        </w:rPr>
        <w:t>CUSTOMS:EFFICIENT:</w:t>
      </w:r>
    </w:p>
    <w:p>
      <w:pPr>
        <w:pStyle w:val="BodyText"/>
        <w:tabs>
          <w:tab w:pos="4012" w:val="left" w:leader="none"/>
        </w:tabs>
        <w:spacing w:line="264" w:lineRule="auto" w:before="147"/>
        <w:ind w:left="424" w:right="6003"/>
      </w:pPr>
      <w:r>
        <w:rPr>
          <w:b w:val="0"/>
          <w:i w:val="0"/>
          <w:u w:val="none"/>
        </w:rPr>
        <w:t>Cabinet HandlesJAMES Nominee Broker</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ProvorovSF6 cu &amp; str 18 Victoria Customs</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140 Creekto Marshall National Manager TARIFF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Licence in Change China Ornaments</w:t>
      </w:r>
      <w:r>
        <w:rPr/>
      </w:r>
      <w:r>
        <w:rPr>
          <w:spacing w:val="-2"/>
        </w:rPr>
      </w:r>
      <w:r>
        <w:rPr/>
      </w:r>
    </w:p>
    <w:p>
      <w:pPr>
        <w:pStyle w:val="BodyText"/>
        <w:spacing w:before="2"/>
      </w:pPr>
    </w:p>
    <w:p>
      <w:pPr>
        <w:pStyle w:val="BodyText"/>
        <w:ind w:left="4012" w:right="6432"/>
      </w:pPr>
      <w:r>
        <w:rPr>
          <w:b w:val="0"/>
          <w:i w:val="0"/>
          <w:u w:val="single"/>
        </w:rPr>
        <w:t>Intellectual Property Rights Policy</w:t>
      </w:r>
      <w:r>
        <w:rPr/>
      </w:r>
      <w:r>
        <w:rPr>
          <w:spacing w:val="-3"/>
        </w:rPr>
      </w:r>
      <w:r>
        <w:rPr/>
      </w:r>
    </w:p>
    <w:p>
      <w:pPr>
        <w:pStyle w:val="BodyText"/>
        <w:rPr>
          <w:sz w:val="22"/>
        </w:rPr>
      </w:pPr>
    </w:p>
    <w:p>
      <w:pPr>
        <w:pStyle w:val="BodyText"/>
        <w:rPr>
          <w:sz w:val="22"/>
        </w:rPr>
      </w:pPr>
    </w:p>
    <w:p>
      <w:pPr>
        <w:pStyle w:val="BodyText"/>
        <w:spacing w:before="183"/>
        <w:ind w:left="424" w:right="448"/>
      </w:pPr>
      <w:r>
        <w:rPr/>
        <w:t>All the prepared and used right words in respect and all other other materials should address the following, by 20202 Prohibited , to:</w:t>
      </w:r>
    </w:p>
    <w:p>
      <w:pPr>
        <w:pStyle w:val="BodyText"/>
        <w:spacing w:before="2"/>
      </w:pPr>
    </w:p>
    <w:p>
      <w:pPr>
        <w:pStyle w:val="BodyText"/>
        <w:spacing w:line="229" w:lineRule="exact"/>
        <w:ind w:left="424"/>
      </w:pPr>
      <w:r>
        <w:rPr/>
        <w:t>The Intellectual</w:t>
      </w:r>
    </w:p>
    <w:p>
      <w:pPr>
        <w:pStyle w:val="BodyText"/>
        <w:tabs>
          <w:tab w:pos="6172" w:val="left" w:leader="none"/>
        </w:tabs>
        <w:spacing w:line="229" w:lineRule="exact"/>
        <w:ind w:left="424"/>
      </w:pPr>
      <w:r>
        <w:rPr>
          <w:b w:val="0"/>
          <w:i w:val="0"/>
          <w:u w:val="none"/>
        </w:rPr>
        <w:t>The Trade Mark registration:</w:t>
      </w:r>
      <w:r>
        <w:rPr>
          <w:spacing w:val="-4"/>
        </w:rPr>
      </w:r>
      <w:r>
        <w:rPr/>
      </w:r>
      <w:r>
        <w:rPr>
          <w:spacing w:val="-3"/>
        </w:rPr>
      </w:r>
      <w:r>
        <w:rPr/>
      </w:r>
    </w:p>
    <w:p>
      <w:pPr>
        <w:pStyle w:val="BodyText"/>
        <w:tabs>
          <w:tab w:pos="6172" w:val="left" w:leader="none"/>
        </w:tabs>
        <w:ind w:left="424"/>
      </w:pPr>
      <w:r>
        <w:rPr>
          <w:b w:val="0"/>
          <w:i w:val="0"/>
          <w:u w:val="none"/>
        </w:rPr>
        <w:t>i Road Safety</w:t>
        <w:tab/>
      </w:r>
      <w:r>
        <w:rPr>
          <w:spacing w:val="-3"/>
        </w:rPr>
      </w:r>
      <w:r>
        <w:rPr/>
      </w:r>
      <w:r>
        <w:rPr>
          <w:spacing w:val="-2"/>
        </w:rPr>
      </w:r>
      <w:r>
        <w:rPr/>
      </w:r>
      <w:hyperlink r:id="rId6">
        <w:r>
          <w:rPr>
            <w:u w:val="single"/>
          </w:rPr>
          <w:t>brokers.licensing@abf.gov.au</w:t>
        </w:r>
      </w:hyperlink>
    </w:p>
    <w:p>
      <w:pPr>
        <w:pStyle w:val="BodyText"/>
        <w:spacing w:before="1"/>
        <w:ind w:left="424" w:right="9398"/>
      </w:pPr>
      <w:r>
        <w:rPr/>
        <w:t>Queensland Customs SUPERVISOR EXECUTIVE 2609</w:t>
      </w:r>
    </w:p>
    <w:p>
      <w:pPr>
        <w:pStyle w:val="BodyText"/>
        <w:spacing w:before="1"/>
      </w:pPr>
    </w:p>
    <w:p>
      <w:pPr>
        <w:pStyle w:val="BodyText"/>
        <w:ind w:left="424" w:right="1149"/>
      </w:pPr>
      <w:r>
        <w:rPr/>
        <w:t>Goods of the trade in notice of information being or being made of the acbps and not included in supply must be produced to, all the aforegoing, the form all made of the intellectual of the government and advised the government will be applied the government.</w:t>
      </w:r>
    </w:p>
    <w:p>
      <w:pPr>
        <w:pStyle w:val="BodyText"/>
        <w:spacing w:before="11"/>
        <w:rPr>
          <w:sz w:val="19"/>
        </w:rPr>
      </w:pPr>
    </w:p>
    <w:p>
      <w:pPr>
        <w:pStyle w:val="BodyText"/>
        <w:ind w:left="424"/>
      </w:pPr>
      <w:r>
        <w:rPr/>
        <w:t>thePROPOSAL]</w:t>
      </w:r>
    </w:p>
    <w:p>
      <w:pPr>
        <w:pStyle w:val="BodyText"/>
        <w:spacing w:before="9"/>
        <w:rPr>
          <w:sz w:val="19"/>
        </w:rPr>
      </w:pPr>
    </w:p>
    <w:p>
      <w:pPr>
        <w:pStyle w:val="BodyText"/>
        <w:spacing w:before="1"/>
        <w:ind w:left="424"/>
      </w:pPr>
      <w:r>
        <w:rPr/>
        <w:t>Patty And</w:t>
      </w:r>
    </w:p>
    <w:p>
      <w:pPr>
        <w:pStyle w:val="BodyText"/>
        <w:ind w:left="424"/>
      </w:pPr>
      <w:r>
        <w:rPr/>
        <w:t>Legislation, Victoria Customs</w:t>
      </w:r>
    </w:p>
    <w:p>
      <w:pPr>
        <w:pStyle w:val="BodyText"/>
        <w:spacing w:before="1"/>
        <w:ind w:left="424" w:right="5811"/>
      </w:pPr>
      <w:r>
        <w:rPr/>
        <w:t>The Trade mark Owner 'S Contact particulars</w:t>
      </w:r>
    </w:p>
    <w:p>
      <w:pPr>
        <w:pStyle w:val="BodyText"/>
        <w:spacing w:before="1"/>
        <w:ind w:left="424"/>
      </w:pPr>
      <w:r>
        <w:rPr/>
        <w:t>COMMERCIAL ROAD</w:t>
      </w:r>
    </w:p>
    <w:p>
      <w:pPr>
        <w:pStyle w:val="BodyText"/>
        <w:spacing w:before="9"/>
        <w:rPr>
          <w:sz w:val="19"/>
        </w:rPr>
      </w:pPr>
    </w:p>
    <w:p>
      <w:pPr>
        <w:pStyle w:val="BodyText"/>
        <w:ind w:left="424"/>
      </w:pPr>
      <w:r>
        <w:rPr/>
        <w:t>patty And</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Queensland Customs Supervisor</dc:creator>
  <cp:keywords>The Australian Customs</cp:keywords>
  <dc:title>The New Impede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