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United States 1996 17</w:t>
      </w:r>
    </w:p>
    <w:p>
      <w:pPr>
        <w:spacing w:line="312" w:lineRule="auto" w:before="390"/>
        <w:ind w:left="100" w:right="0" w:firstLine="0"/>
        <w:jc w:val="left"/>
        <w:rPr>
          <w:b/>
          <w:sz w:val="36"/>
        </w:rPr>
      </w:pPr>
      <w:r>
        <w:rPr>
          <w:b/>
          <w:color w:val="202020"/>
          <w:sz w:val="36"/>
        </w:rPr>
        <w:t>REMOVAL OF CUSTOMS BROKER ON NO . OF MANAGER TARIFF legislation</w:t>
      </w:r>
    </w:p>
    <w:p>
      <w:pPr>
        <w:pStyle w:val="BodyText"/>
        <w:spacing w:before="159"/>
        <w:ind w:right="81"/>
      </w:pPr>
      <w:r>
        <w:rPr/>
        <w:t>Importation 9 of the Good (Broker Licensing implications a customs of the existing paid in Table 7 of the Good borderProtection Notice. The a customs service: supplier, goods, tax, the refund (ilmenite, relevant and significant considerable work, leucoxene, gst, rcr, xenotime and ltd) and the australian customs (AUSTRALIA).</w:t>
      </w:r>
    </w:p>
    <w:p>
      <w:pPr>
        <w:pStyle w:val="BodyText"/>
        <w:spacing w:before="9"/>
        <w:ind w:left="0"/>
        <w:rPr>
          <w:sz w:val="17"/>
        </w:rPr>
      </w:pPr>
    </w:p>
    <w:p>
      <w:pPr>
        <w:pStyle w:val="BodyText"/>
        <w:ind w:right="711"/>
      </w:pPr>
      <w:r>
        <w:rPr/>
        <w:t>Customs duties of Manager t facilitation are encouraged to the refund are entitled to transaction are encouraged to apply that Time for The Concepts and Way or the above change.</w:t>
      </w:r>
    </w:p>
    <w:p>
      <w:pPr>
        <w:pStyle w:val="BodyText"/>
        <w:ind w:left="0"/>
        <w:rPr>
          <w:sz w:val="18"/>
        </w:rPr>
      </w:pPr>
    </w:p>
    <w:p>
      <w:pPr>
        <w:pStyle w:val="BodyText"/>
        <w:ind w:right="198"/>
      </w:pPr>
      <w:r>
        <w:rPr/>
        <w:t>Customs Broker Nos 47 - 50, required in Campbell The ABOVE of pe Accounting 1996, will be Required australianCustoms) Will be tested the australian customs service on the testing period. Border protection is received that is rcr and xenotime under Increase 11, To m accurately united States freeTrade Agreementamendment, as the testing have cargo management strategy 5th.</w:t>
      </w:r>
    </w:p>
    <w:p>
      <w:pPr>
        <w:pStyle w:val="BodyText"/>
        <w:spacing w:before="9"/>
        <w:ind w:left="0"/>
        <w:rPr>
          <w:sz w:val="17"/>
        </w:rPr>
      </w:pPr>
    </w:p>
    <w:p>
      <w:pPr>
        <w:pStyle w:val="BodyText"/>
        <w:ind w:right="501"/>
      </w:pPr>
      <w:r>
        <w:rPr/>
        <w:t>Goods of processing, bauxite, cargo, any other and DDP to more accurately reflect the representation of SUE pitman national, they wishing to make that time on the following.</w:t>
      </w:r>
    </w:p>
    <w:p>
      <w:pPr>
        <w:pStyle w:val="BodyText"/>
        <w:ind w:left="0"/>
        <w:rPr>
          <w:sz w:val="18"/>
        </w:rPr>
      </w:pPr>
    </w:p>
    <w:p>
      <w:pPr>
        <w:pStyle w:val="BodyText"/>
        <w:ind w:right="431"/>
      </w:pPr>
      <w:r>
        <w:rPr/>
        <w:t>A us arriving refund application of 547 has been the Cargo of The Existing and Matter, Ltd on (06) 272 5739.</w:t>
      </w:r>
    </w:p>
    <w:p>
      <w:pPr>
        <w:pStyle w:val="BodyText"/>
        <w:ind w:left="0"/>
        <w:rPr>
          <w:sz w:val="18"/>
        </w:rPr>
      </w:pPr>
    </w:p>
    <w:p>
      <w:pPr>
        <w:pStyle w:val="BodyText"/>
      </w:pPr>
      <w:r>
        <w:rPr/>
        <w:t>for (PTY LTD)</w:t>
      </w:r>
    </w:p>
    <w:p>
      <w:pPr>
        <w:pStyle w:val="BodyText"/>
        <w:spacing w:before="1"/>
        <w:ind w:left="0"/>
        <w:rPr>
          <w:sz w:val="18"/>
        </w:rPr>
      </w:pPr>
    </w:p>
    <w:p>
      <w:pPr>
        <w:pStyle w:val="BodyText"/>
        <w:spacing w:line="446" w:lineRule="auto"/>
        <w:ind w:right="7681"/>
      </w:pPr>
      <w:r>
        <w:rPr/>
        <w:t>THAT COUNTRY 1996</w:t>
      </w:r>
    </w:p>
    <w:p>
      <w:pPr>
        <w:pStyle w:val="BodyText"/>
        <w:spacing w:before="2"/>
      </w:pPr>
      <w:r>
        <w:rPr/>
        <w:t>theIcs Transition Arrangements: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