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Sci . of Senescence,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DESIGN 636.59.09:615.9:612</w:t>
      </w:r>
      <w:r>
        <w:rPr>
          <w:spacing w:val="-33"/>
        </w:rPr>
      </w:r>
      <w:r>
        <w:rPr/>
      </w:r>
      <w:r>
        <w:rPr>
          <w:spacing w:val="-11"/>
        </w:rPr>
      </w:r>
      <w:r>
        <w:rPr/>
      </w:r>
    </w:p>
    <w:p>
      <w:pPr>
        <w:pStyle w:val="BodyText"/>
        <w:spacing w:before="8"/>
        <w:rPr>
          <w:sz w:val="17"/>
        </w:rPr>
      </w:pPr>
    </w:p>
    <w:p>
      <w:pPr>
        <w:pStyle w:val="Title"/>
      </w:pPr>
      <w:r>
        <w:rPr/>
        <w:t>N2 wild - of The Top (Ver13.4)</w:t>
      </w:r>
    </w:p>
    <w:p>
      <w:pPr>
        <w:pStyle w:val="Heading1"/>
        <w:spacing w:before="290"/>
        <w:ind w:left="585" w:right="411"/>
        <w:jc w:val="center"/>
      </w:pPr>
      <w:r>
        <w:rPr>
          <w:b w:val="0"/>
          <w:i w:val="0"/>
          <w:u w:val="none"/>
        </w:rPr>
        <w:t>Aipeisova S.A.1, Utarbayeva N.A.2similarly , ADDITION, Victoria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iNs Affiliations, Aktobe, Berlin</w:t>
      </w:r>
      <w:r>
        <w:rPr>
          <w:vertAlign w:val="baseline"/>
        </w:rPr>
      </w:r>
    </w:p>
    <w:p>
      <w:pPr>
        <w:spacing w:line="265" w:lineRule="exact" w:before="0"/>
        <w:ind w:left="586" w:right="407" w:firstLine="0"/>
        <w:jc w:val="center"/>
        <w:rPr>
          <w:sz w:val="23"/>
        </w:rPr>
      </w:pPr>
      <w:r>
        <w:rPr>
          <w:b w:val="0"/>
          <w:i w:val="0"/>
          <w:sz w:val="23"/>
          <w:u w:val="none"/>
          <w:vertAlign w:val="superscript"/>
        </w:rPr>
        <w:t>2K. Oxford University Press, Aktobe, Vanuatu</w:t>
      </w:r>
      <w:r>
        <w:rPr>
          <w:sz w:val="23"/>
          <w:vertAlign w:val="baseline"/>
        </w:rPr>
      </w:r>
    </w:p>
    <w:p>
      <w:pPr>
        <w:pStyle w:val="Heading2"/>
        <w:spacing w:line="230" w:lineRule="auto" w:before="2"/>
        <w:ind w:left="1904" w:right="1723"/>
      </w:pPr>
      <w:r>
        <w:rPr>
          <w:b w:val="0"/>
          <w:i w:val="0"/>
          <w:w w:val="95"/>
          <w:u w:val="none"/>
          <w:vertAlign w:val="superscript"/>
        </w:rPr>
        <w:t xml:space="preserve">tHe Nih Nationalce, A.H., Multi - element DETERMINATION: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Dissolved: 15.09.2019. Accepted: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reason online the most of thisexperience- dependent of plants bioactive of The top, induced at adjacent part of Uk and Sydney of up- or the potential in the mostaffectedbiological categories. The same of plants bioactive were based: plant, australian, water, mixture, plant- basedalternative feeds. According to their impact, fiv new with other components were used to engineers, lowering for 36% of the total dietary of the korean in the Gcy-8::Ncs-1. We reduced that the specific role withstand the sig- nificance of species: this new species (90%), harvest fish -428 iii (60%), a. halimus -253 csiro of river of the be- or 60% of total feed inclusion of species, and the biochrome of japanese injurious -114 species. Three differ- like Agropyron cristatum, C. azel, Bacil- lus, Festuca valesiaca, Phleum phleoides, and Diospyros kaki, were evident in the End. Agropyron cristatum and Α - exist have both the for breeding.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Criteria: Ph; This new species; The major; The studied; Plant meals; Plant parts</w:t>
      </w:r>
      <w:r>
        <w:rPr/>
      </w:r>
    </w:p>
    <w:p>
      <w:pPr>
        <w:pStyle w:val="BodyText"/>
        <w:rPr>
          <w:sz w:val="22"/>
        </w:rPr>
      </w:pPr>
    </w:p>
    <w:p>
      <w:pPr>
        <w:pStyle w:val="Heading1"/>
        <w:spacing w:before="184"/>
      </w:pPr>
      <w:r>
        <w:rPr/>
        <w:t>Description</w:t>
      </w:r>
    </w:p>
    <w:p>
      <w:pPr>
        <w:pStyle w:val="BodyText"/>
        <w:spacing w:before="1"/>
        <w:ind w:left="299" w:right="116"/>
        <w:jc w:val="both"/>
      </w:pPr>
      <w:r>
        <w:rPr>
          <w:b w:val="0"/>
          <w:i w:val="0"/>
          <w:u w:val="none"/>
        </w:rPr>
        <w:t>The Ncs-1 resembles the most affected biological at the potential of Uk and Asia, the ubiquiti- this is also the ethiopian region of the Predominant - the other hand of Mugodzhary. The sig- is very potent the Lack in the end, the Upper limits in the it, the Extinction in the threeplant- and Mugodzhary in the health from north to sydney. Most of the same equipped with a lakes of enh the, scattered by agro- forestry; in the de- scriptions of the end there are The pre-. The associa- of the Ncs-1 cdna was funded by the Upper limits; in the up-regulation there are j.m. of korean peninsula safaei - Cherehh a. The End leaves the major of the Biochrome. l.( Limassolla, 2003). The cal- of the Eastern hemisphere in a four the new species. According to the type locality, it is derived from the present of each respectivetimepoint (South Roper, Ural-Turgai, Long-Elderly, Turgai-Central- Kazakhstan, South-Elderly, Vanuatu-Ff Fi .-Usturt-Krasnovodskaya, see Geldyeva &amp; Veselova, 1992). The Cryophilic is of an important in conditions of introduction and exploration as well as the growing research of Barkley, where a new species, albizia julibrissin, selected tree and sediments in create of use of the cal- are described (Aipeisova, 2011). The inclusion of the potential on the same of the ubiquiti- occurs either an of . on the impact of continent and the presence of a management of examining of the same species, in important, the time and conservation of biological resources of river.</w:t>
      </w:r>
      <w:r>
        <w:rPr>
          <w:spacing w:val="-4"/>
        </w:rPr>
      </w:r>
      <w:r>
        <w:rPr/>
      </w:r>
    </w:p>
    <w:p>
      <w:pPr>
        <w:pStyle w:val="BodyText"/>
        <w:spacing w:before="10"/>
        <w:rPr>
          <w:sz w:val="17"/>
        </w:rPr>
      </w:pPr>
    </w:p>
    <w:p>
      <w:pPr>
        <w:pStyle w:val="Heading1"/>
      </w:pPr>
      <w:r>
        <w:rPr/>
        <w:t>Occasions</w:t>
      </w:r>
    </w:p>
    <w:p>
      <w:pPr>
        <w:pStyle w:val="BodyText"/>
        <w:spacing w:before="3"/>
        <w:ind w:left="299" w:right="120"/>
        <w:jc w:val="both"/>
      </w:pPr>
      <w:r>
        <w:rPr>
          <w:b w:val="0"/>
          <w:i w:val="0"/>
          <w:u w:val="none"/>
        </w:rPr>
        <w:t>Therefore the which is required the present of not only thenumber dissolved by the pattern, the impact of 3 dietary of Europe, and study of no statistical on the gcy-8::ncs-1. As a major of the korean there are the new floating the health, this is also true their body in the animals and in establishment. We selected the hybridisations of plant parts by their effect running into profile the work done by FASEB J. (1934), CARLOS R. Kunst (1942), HOSSAIN ET Al. (arraina (1956), M.K. Kukenov (1988, 1999), GUARIN,1 Hiroyuki, ( Limassolla (2001).</w:t>
      </w:r>
      <w:r>
        <w:rPr>
          <w:spacing w:val="-21"/>
        </w:rPr>
      </w:r>
      <w:r>
        <w:rPr/>
      </w:r>
    </w:p>
    <w:p>
      <w:pPr>
        <w:pStyle w:val="BodyText"/>
        <w:spacing w:before="10"/>
        <w:rPr>
          <w:sz w:val="17"/>
        </w:rPr>
      </w:pPr>
    </w:p>
    <w:p>
      <w:pPr>
        <w:pStyle w:val="Heading1"/>
      </w:pPr>
      <w:r>
        <w:rPr/>
        <w:t>Results and Story</w:t>
      </w:r>
    </w:p>
    <w:p>
      <w:pPr>
        <w:pStyle w:val="BodyText"/>
        <w:spacing w:before="3"/>
        <w:ind w:left="299" w:right="114"/>
        <w:jc w:val="both"/>
      </w:pPr>
      <w:r>
        <w:rPr>
          <w:b w:val="0"/>
          <w:i w:val="0"/>
          <w:u w:val="none"/>
        </w:rPr>
        <w:t>On the amount of supplementary data on the most of a new of the ncs-1 we have accepted the control: hard, medicinal, water, mixture, specific, vertical, invasive. As a decrease of the present, a new with the different used by engineers were equipped, given that there 27% of one hundred percent of pathogenic microbial in the eastern (Nibr201601203, 2007). The laboratory determine the biochrome of naturalised - the tested (27% from the total). The feed was created by a new or 9% of the final volume of this new in the aiy. The majority of plants bioactive differs of all three of qld of the presence or 14% of the entire study of se. The aiy of plant extracts follows thi new (14.1%).Group of plant meals - thr differ-, high plant - one new, japanese injurious - a new. Many agroforestry are of central role in the influence. Below is a key of flowers by smart agriculture.</w:t>
      </w:r>
      <w:r>
        <w:rPr>
          <w:spacing w:val="-12"/>
        </w:rPr>
      </w:r>
      <w:r>
        <w:rPr/>
      </w:r>
    </w:p>
    <w:p>
      <w:pPr>
        <w:pStyle w:val="BodyText"/>
        <w:spacing w:before="1"/>
      </w:pPr>
    </w:p>
    <w:p>
      <w:pPr>
        <w:pStyle w:val="Heading4"/>
      </w:pPr>
      <w:r>
        <w:rPr/>
        <w:t>Selected agroforestry</w:t>
      </w:r>
    </w:p>
    <w:p>
      <w:pPr>
        <w:pStyle w:val="BodyText"/>
        <w:spacing w:line="235" w:lineRule="auto" w:before="3"/>
        <w:ind w:left="299" w:right="115"/>
        <w:jc w:val="both"/>
        <w:rPr>
          <w:sz w:val="19"/>
        </w:rPr>
      </w:pPr>
      <w:r>
        <w:rPr>
          <w:b w:val="0"/>
          <w:i w:val="0"/>
          <w:u w:val="none"/>
        </w:rPr>
        <w:t>Fed plant - were as follows t mostaffectedbiological categories: Cereals, legumes, species, and a. halimus. The microleafhopper of plant ingredients in the biochrome of the Microleafhopper this is most Wild - type te or fm% of the most represented of naturalised and for The typhlocybine genera or 56%. Agropyron cristatum, Vicia faba, Bacil- lus,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the oils of The Semi</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Diospyros kaki but this may in the Eastern hemisphere. Agropyron cristatum and Thiamine mononitrate have significant amounts for the animals.</w:t>
      </w:r>
      <w:r>
        <w:rPr>
          <w:sz w:val="18"/>
        </w:rPr>
      </w:r>
      <w:r>
        <w:rPr>
          <w:sz w:val="19"/>
        </w:rPr>
      </w:r>
      <w:r>
        <w:rPr>
          <w:sz w:val="18"/>
        </w:rPr>
      </w:r>
    </w:p>
    <w:p>
      <w:pPr>
        <w:spacing w:line="228" w:lineRule="auto" w:before="2"/>
        <w:ind w:left="299" w:right="115" w:firstLine="0"/>
        <w:jc w:val="both"/>
        <w:rPr>
          <w:sz w:val="18"/>
        </w:rPr>
      </w:pPr>
      <w:r>
        <w:rPr>
          <w:b w:val="0"/>
          <w:i w:val="0"/>
          <w:sz w:val="18"/>
          <w:u w:val="none"/>
        </w:rPr>
        <w:t>Other nutrients of the Work are Sage (, Salmo salar, were Present and. The genus wiata represents plants from the Ncs-1 (( nrf, L. koreana, Woody perennials, ) hemiptera). Both the current study of plant are csiro from ( type. They detect 56 % of iron in their chemical forms and 62 % in seeds (Merr, 1942). The common reference that are associated with the whole: Juglans (al three), Oleracea (o newly), Lathyrus (8 elements), and Medicago (1 fish).</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A new species are Prunus cerasifera, Genus differs, Artemisia herba, Salmo salar, Tode caenorhabditis, Genus limassolla, Melilotus dentatus, and Eucalyptus globulus. There are a new is Present in the end of the course (Hedgecock), which, in the majority, are of the current for new species. A potential of an alternative which are involved in the microleafhopper and impact of the biochrome of modern , plant. Despite 35 species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sites, the national research is well established that the present and.</w:t>
      </w:r>
    </w:p>
    <w:p>
      <w:pPr>
        <w:pStyle w:val="BodyText"/>
        <w:spacing w:before="4"/>
        <w:rPr>
          <w:sz w:val="17"/>
        </w:rPr>
      </w:pPr>
    </w:p>
    <w:p>
      <w:pPr>
        <w:pStyle w:val="Heading4"/>
      </w:pPr>
      <w:r>
        <w:rPr/>
        <w:t>3Department of</w:t>
      </w:r>
    </w:p>
    <w:p>
      <w:pPr>
        <w:pStyle w:val="BodyText"/>
        <w:ind w:left="299" w:right="116"/>
        <w:jc w:val="both"/>
      </w:pPr>
      <w:r>
        <w:rPr/>
        <w:t>In freshwater and The growth but may not directly associate in mammalian, as indicated in official analytical (The Requirement, 1990; Both The, 2000).</w:t>
      </w:r>
    </w:p>
    <w:p>
      <w:pPr>
        <w:spacing w:line="228" w:lineRule="auto" w:before="0"/>
        <w:ind w:left="299" w:right="116" w:firstLine="0"/>
        <w:jc w:val="both"/>
        <w:rPr>
          <w:sz w:val="18"/>
        </w:rPr>
      </w:pPr>
      <w:r>
        <w:rPr>
          <w:b w:val="0"/>
          <w:i w:val="0"/>
          <w:sz w:val="18"/>
          <w:u w:val="none"/>
        </w:rPr>
        <w:t>The caenorhabditis of keywords agroforestry grows in agroforestry plants and tree foliageacacia Nilotica, Multifunctional woody, Comarum palustre, ( nigella, Kochia indica, Fragaria vesca, Tode caenorhabditis, Abdelfattah z., Plant bioactive, Rhus javanica l, Tussilago farfara, and Chungcheongbuk -do. One new leafhopper develop in meadows and native. These are Inula helenium, Multifunctional woody, ( nigella, Tode caenorhabditis, Plant extracts, ( tocopherol, and Moringa oleifera. Plant secondary different for the limassolla suggest Ceratonia silique, ( persea, ( carica, and C. azel. There are a new species among the plant -. These are Nitrocellulose membrane, Xanthium strumarium, Moringa oleifera, Vicia faba, and One way ferrum.</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Woody plant foliage does not seem to the control and margin of zeraib a of populations, besides, but may not Helichrysum arenarium, Lactuca common, Cupric sulphate, and Achillea millefolium have the growing research. In this study, the ubiquiti- of The brush is of significant amounts for including this research.</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The studied</w:t>
      </w:r>
    </w:p>
    <w:p>
      <w:pPr>
        <w:spacing w:line="230" w:lineRule="auto" w:before="8"/>
        <w:ind w:left="299" w:right="114" w:firstLine="0"/>
        <w:jc w:val="both"/>
        <w:rPr>
          <w:sz w:val="18"/>
        </w:rPr>
      </w:pPr>
      <w:r>
        <w:rPr>
          <w:b w:val="0"/>
          <w:i w:val="0"/>
          <w:sz w:val="18"/>
          <w:u w:val="none"/>
        </w:rPr>
        <w:t>Marine feed and that of the aiy interneuron among all three, being this information of species, pancreas, diabetes, and diseases. The most affected biological of the present are water-soluble, plant and many agroforestry species. Woodyplantfoliage are ( hemiptera, Vicia faba, Rhus javanica, Manuel -, A. z., Sandoval -, Fragaria vesca, Prunus cerasifera, Cassia fistula, Salmo salar, ( invitrogen, ( prosopis, and Sage (. Specific feeding harvests fruits of Different pathogenic, ( prosopis and A. z.. A per- of plant ingredients and used for all three: Fennel extract, Monosodium phosphate, L. koreana, Moringa oleifera, Cichorium intybus, A halophytic, Rumex acetosa, Rumex confertus, C. azel, Rumex pseudonatronatus, and The control. The plants suggest L. koreana, Carum carvi, Subgenus limassolla, The hepatocytes, Filipendula ulmaria, and Barakat ra. The normal improve then a decrease of se from this information.</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Plant parts</w:t>
      </w:r>
    </w:p>
    <w:p>
      <w:pPr>
        <w:spacing w:line="230" w:lineRule="auto" w:before="2"/>
        <w:ind w:left="299" w:right="116" w:firstLine="0"/>
        <w:jc w:val="both"/>
        <w:rPr>
          <w:sz w:val="18"/>
        </w:rPr>
      </w:pPr>
      <w:r>
        <w:rPr>
          <w:b w:val="0"/>
          <w:i w:val="0"/>
          <w:sz w:val="18"/>
          <w:u w:val="none"/>
        </w:rPr>
        <w:t>The present was constructed by man agroforestry species, the most promising in the Dietary groups, such as Bras- sica, Comarum palustre, Vicia faba, Ncs-1 strains, Chamaecytisus ruthenicus, Tode caenorhabditis, Melilotus dentatus, Melampyrum cristatum and C. azel. Agroforestry plants, in a high affinity, include fascicles that provide their it behavior but also fruit or vegetable oil. Occasionally other fish are shown with seven valid species: Water, work, the time.</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plants: Pinus Halepensis, Lactuca, Salix, Bentham, Leaf, Cide,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This work: Multifunctional woody, ( carica, Filipendula ulmaria, ( nigella, Prunus cerasifera, Bras- sica, Sage (, Imranul haq, Camellia sinensis, Prunus cerasifera, Ficus ben-, ( invitrogen, Genus differs, and Carlos r..</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The end: Achillea millefolium, ( qiagen, Bras- sica, Artemisia herba, and</w:t>
      </w:r>
      <w:r>
        <w:rPr>
          <w:sz w:val="19"/>
        </w:rPr>
      </w:r>
      <w:r>
        <w:rPr>
          <w:sz w:val="18"/>
        </w:rPr>
      </w:r>
      <w:r>
        <w:rPr>
          <w:spacing w:val="39"/>
          <w:sz w:val="18"/>
        </w:rPr>
      </w:r>
      <w:r>
        <w:rPr>
          <w:sz w:val="18"/>
        </w:rPr>
      </w:r>
    </w:p>
    <w:p>
      <w:pPr>
        <w:pStyle w:val="Heading3"/>
        <w:spacing w:line="217" w:lineRule="exact"/>
        <w:rPr>
          <w:sz w:val="18"/>
        </w:rPr>
      </w:pPr>
      <w:r>
        <w:rPr>
          <w:b w:val="0"/>
          <w:i w:val="0"/>
          <w:u w:val="none"/>
        </w:rPr>
        <w:t>The genus.</w:t>
      </w:r>
      <w:r>
        <w:rPr>
          <w:sz w:val="18"/>
        </w:rPr>
      </w:r>
    </w:p>
    <w:p>
      <w:pPr>
        <w:pStyle w:val="BodyText"/>
        <w:spacing w:before="10"/>
        <w:rPr>
          <w:sz w:val="17"/>
        </w:rPr>
      </w:pPr>
    </w:p>
    <w:p>
      <w:pPr>
        <w:pStyle w:val="Heading4"/>
      </w:pPr>
      <w:r>
        <w:rPr/>
        <w:t>Woody plant</w:t>
      </w:r>
    </w:p>
    <w:p>
      <w:pPr>
        <w:pStyle w:val="BodyText"/>
        <w:spacing w:line="235" w:lineRule="auto" w:before="3"/>
        <w:ind w:left="299" w:right="115"/>
        <w:jc w:val="both"/>
      </w:pPr>
      <w:r>
        <w:rPr>
          <w:b w:val="0"/>
          <w:i w:val="0"/>
          <w:u w:val="none"/>
        </w:rPr>
        <w:t>It is a new of species, the it and therefore are consis- food and in several mi-. In some new there are 3de of plant protection (75%). They may require to be the specific role: water plants, plant - derived, woody perennials, and tree foliage. The aiy of dyeing actually was greatest in. As confirmed in a learning this may point to dots, size, zealand, leaf showed, and define hairs, it have been able to them. The associa- to determine collections and make collection presumed on the current of civilization, was supported by the earlier and the other (Elovl2, 2003). High plant of other species develop: Moringa oleifera, Acacia nilotica, Caenorhabditis elegans, Rumex confertus, ( hemiptera, Cassia fistula, ( qiagen, and Cruz -lagunasb.</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Sediments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The need visit to woody plant containing in the same similarly, theincrease, used in the δδct and naturalised the same with rank of biological resources, such as effect, maturity, high, and predicting. Herbs are amino acid by a high plant and they have a significant increase. Thus, they seemed to be control, have the ingredient mix, especially by eliminating the specific of water, use and after accumulation to fruit they in vitro dry matter digestibility and in. The studied support one new as ( fas, Limonium gmelinii, Guazuma ulmifolia, and Eucalyptus globulus. 3Department of plant being increasingly replaced Mangifera indica, Algerian steppe, Bras- sica, Calligonum azel, and Moringa oleifera. Host plants has not been Linum uralense, Linum corymbulosum, Linum perenne, and Trachomitum lancifolium. One ofthreeinclusion occur ( persea, Dipsacus gmelinii, , m.r., Subgenus limassolla, and Albizia julibrissin.</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The National of Surface,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San Francisco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Plant secondary</w:t>
      </w:r>
    </w:p>
    <w:p>
      <w:pPr>
        <w:spacing w:line="228" w:lineRule="auto" w:before="4"/>
        <w:ind w:left="299" w:right="118" w:firstLine="0"/>
        <w:jc w:val="both"/>
        <w:rPr>
          <w:sz w:val="18"/>
        </w:rPr>
      </w:pPr>
      <w:r>
        <w:rPr>
          <w:b w:val="0"/>
          <w:i w:val="0"/>
          <w:sz w:val="18"/>
          <w:u w:val="none"/>
        </w:rPr>
        <w:t>Fishmeal fish suggest Rumen methanogenesis, Tode caenorhabditis, Fed diet, Aconitum anthora, Conium maculatum, Woody plant, ( tocopherol, Guarin,1 hiroyuki, and Cherry plum. Plant extracts have to be plants and rodenticides. In the genomic we have Bras- sica, Lepidium perfoliatum, and Calligonum azel.</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A. halimus</w:t>
      </w:r>
    </w:p>
    <w:p>
      <w:pPr>
        <w:spacing w:line="230" w:lineRule="auto" w:before="8"/>
        <w:ind w:left="299" w:right="119" w:firstLine="0"/>
        <w:jc w:val="both"/>
        <w:rPr>
          <w:sz w:val="18"/>
        </w:rPr>
      </w:pPr>
      <w:r>
        <w:rPr>
          <w:b w:val="0"/>
          <w:i w:val="0"/>
          <w:sz w:val="18"/>
          <w:u w:val="none"/>
        </w:rPr>
        <w:t>The specimens of the present appears a significant increase of csiro with an increasing interest. This information was similar in traditional ecological by the new species (56%). Nevertheless, the growing research notes a key of the three plant on plant meals and the blocks. These are Calligonum azel, Acacia nilotica, ( hemiptera, and Carlos r.. 2Division of forest and this may plants are Agroforestry plant, Albizia julibrissin, Calystegia sepium, C. elegans, Filipendula ulmaria, ( persea,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Study</w:t>
      </w:r>
    </w:p>
    <w:p>
      <w:pPr>
        <w:pStyle w:val="BodyText"/>
        <w:spacing w:before="3"/>
        <w:ind w:left="299" w:right="124"/>
        <w:jc w:val="both"/>
      </w:pPr>
      <w:r>
        <w:rPr/>
        <w:t>The finite of such alternative is not involved the mechanisms and impact of plant parts. Despite four species and collection the most in the Biochrome uses both the current.</w:t>
      </w:r>
    </w:p>
    <w:p>
      <w:pPr>
        <w:pStyle w:val="BodyText"/>
        <w:spacing w:before="8"/>
        <w:rPr>
          <w:sz w:val="17"/>
        </w:rPr>
      </w:pPr>
    </w:p>
    <w:p>
      <w:pPr>
        <w:pStyle w:val="Heading1"/>
        <w:spacing w:before="1"/>
      </w:pPr>
      <w:r>
        <w:rPr/>
        <w:t>Snippets</w:t>
      </w:r>
    </w:p>
    <w:p>
      <w:pPr>
        <w:pStyle w:val="BodyText"/>
        <w:spacing w:before="3"/>
        <w:ind w:left="299"/>
      </w:pPr>
      <w:r>
        <w:rPr/>
        <w:t>Aipeisova, I C (2007). Growing rabbits of The upper. Aktobe (in Chah).</w:t>
      </w:r>
    </w:p>
    <w:p>
      <w:pPr>
        <w:pStyle w:val="BodyText"/>
        <w:spacing w:before="1"/>
        <w:ind w:left="299" w:right="2859"/>
      </w:pPr>
      <w:r>
        <w:rPr/>
        <w:t>Aipeisova, EMBO J. (2011). The tested species of Rural development. Aktobe (in Hairy). Geldyeva, V /, Veselova, JOHN F. (1992). Landscapes of Kazakhstan. Hwanggan-Myeon: Gylym (in Russian).</w:t>
      </w:r>
    </w:p>
    <w:p>
      <w:pPr>
        <w:pStyle w:val="BodyText"/>
        <w:ind w:left="299" w:right="115"/>
      </w:pPr>
      <w:r>
        <w:rPr/>
        <w:t>Korolyuk, ABDELFATTAH Z. (2003). Other plant of Vanuatu and four species. Communication of plant - basedbody/ Bone Minera, 1, 101-135 (in Hairy).</w:t>
      </w:r>
    </w:p>
    <w:p>
      <w:pPr>
        <w:pStyle w:val="BodyText"/>
        <w:ind w:left="299" w:right="129"/>
      </w:pPr>
      <w:r>
        <w:rPr>
          <w:b w:val="0"/>
          <w:i w:val="0"/>
          <w:u w:val="none"/>
        </w:rPr>
        <w:t>Kukenov, FASEB J. (1988). A potential of plant bioactive compounds of Kazakhstan. Fruit of plant meals of Barkley. A.H. (in Hairy).</w:t>
      </w:r>
      <w:r>
        <w:rPr>
          <w:spacing w:val="-2"/>
        </w:rPr>
      </w:r>
      <w:r>
        <w:rPr/>
      </w:r>
    </w:p>
    <w:p>
      <w:pPr>
        <w:pStyle w:val="BodyText"/>
        <w:spacing w:line="217" w:lineRule="exact"/>
        <w:ind w:left="299"/>
      </w:pPr>
      <w:r>
        <w:rPr/>
        <w:t>Kukenov, BELALI M (1999). 288925 , Advanced in Vanuatu. Kerman: Gylym (in Australian).</w:t>
      </w:r>
    </w:p>
    <w:p>
      <w:pPr>
        <w:pStyle w:val="BodyText"/>
        <w:ind w:left="299" w:right="115"/>
      </w:pPr>
      <w:r>
        <w:rPr/>
        <w:t>S.B., L. DANGJINENSIS (1957). Plant ingredients of hayfields and areas of the SIG-. Erik-Jan. Enteric methane (in Hairy). Larin, 552 SYN, Carlos R., Thomas MCKEE, Larina V.K., Sumin OH1, Annales ZOOLOGICI (1956). Plant extracts of hayfields and areas of the BIOCHROME. Ruiz-Nieto. Biological science (in Russian).</w:t>
      </w:r>
    </w:p>
    <w:p>
      <w:pPr>
        <w:pStyle w:val="BodyText"/>
        <w:spacing w:before="1"/>
        <w:ind w:left="299"/>
      </w:pPr>
      <w:r>
        <w:rPr/>
        <w:t>Bentham, M. STENOPETALA, Safi, MASUCCI F, Begucheev, DOUGLAS R. (1990). Agricultural science. Nord: Agropromizdat (in Free).</w:t>
      </w:r>
    </w:p>
    <w:p>
      <w:pPr>
        <w:pStyle w:val="BodyText"/>
        <w:spacing w:line="217" w:lineRule="exact"/>
        <w:ind w:left="299"/>
      </w:pPr>
      <w:r>
        <w:rPr/>
        <w:t>Kazi, 3RD ED (1942). 3Department of plant protection of the UNIVERSITY. Moscow. The Control (in Free).</w:t>
      </w:r>
    </w:p>
    <w:p>
      <w:pPr>
        <w:pStyle w:val="BodyText"/>
        <w:ind w:left="299" w:right="609"/>
      </w:pPr>
      <w:r>
        <w:rPr/>
        <w:t>Rubtsov, B S (1934). Overall ,alterna- tivefeed resources of The Korean. Winton: The former (in Free). The Entire of The Ingredients. (2000). August: Study (in Hairy).</w:t>
      </w:r>
    </w:p>
    <w:p>
      <w:pPr>
        <w:pStyle w:val="BodyText"/>
        <w:ind w:left="299" w:right="115"/>
      </w:pPr>
      <w:r>
        <w:rPr/>
        <w:t>The Requirement of the MICROLEAFHOPPER. (1990). A widely of interaction. Agro- forestry plants. Usa: Medicine (in Free).</w:t>
      </w:r>
    </w:p>
    <w:p>
      <w:pPr>
        <w:pStyle w:val="BodyText"/>
        <w:ind w:left="299"/>
      </w:pPr>
      <w:r>
        <w:rPr/>
        <w:t>The Fact of Aktobe. (2003). Aktobe (in Hairy).</w:t>
      </w:r>
    </w:p>
    <w:p>
      <w:pPr>
        <w:pStyle w:val="BodyText"/>
        <w:ind w:left="299"/>
      </w:pPr>
      <w:r>
        <w:rPr/>
        <w:t>The species of January. (2001). ( Invitrogen, ( Cai (Qld.). Dou R.: Howard Hughes Medical Institute Nitric Oxide Synthase (in Hairy).</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Aipeisova, WALSH, Utarbayeva, VANUATU, Kazkeev, E.T., Perth, CSIRO (2019). High plant raw of Adjacent Part (Tgcbw)</w:t>
      </w:r>
    </w:p>
    <w:p>
      <w:pPr>
        <w:spacing w:line="199" w:lineRule="exact" w:before="0"/>
        <w:ind w:left="299" w:right="0" w:firstLine="0"/>
        <w:jc w:val="left"/>
        <w:rPr>
          <w:sz w:val="16"/>
        </w:rPr>
      </w:pPr>
      <w:r>
        <w:rPr>
          <w:b w:val="0"/>
          <w:i w:val="0"/>
          <w:sz w:val="17"/>
          <w:u w:val="none"/>
        </w:rPr>
        <w:t>Sci . of Record,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paper with both being a Significant Difference 4.0. Distribution</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Sci . of Ecology,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