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Celestial Mechanics and Engineering for Smart Devices, vol. 26, no. 1-6, pp.</w:t>
      </w:r>
    </w:p>
    <w:p>
      <w:pPr>
        <w:spacing w:before="1"/>
        <w:ind w:left="407" w:right="407" w:firstLine="0"/>
        <w:jc w:val="center"/>
        <w:rPr>
          <w:sz w:val="48"/>
        </w:rPr>
      </w:pPr>
      <w:r>
        <w:rPr>
          <w:sz w:val="48"/>
        </w:rPr>
        <w:t>26 VOLUME 4, 2016</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 Alam et al.: Video Big Data Analytics in the cloud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Qasim et al.: Towards A Cost-Effective and Efficient Service Provisioning Architecture for Big Data P2P Networks</w:t>
      </w:r>
      <w:r>
        <w:rPr>
          <w:b/>
          <w:sz w:val="18"/>
        </w:rPr>
      </w:r>
    </w:p>
    <w:p>
      <w:pPr>
        <w:spacing w:line="230" w:lineRule="auto" w:before="5"/>
        <w:ind w:left="119" w:right="38" w:firstLine="0"/>
        <w:jc w:val="both"/>
        <w:rPr>
          <w:b/>
          <w:sz w:val="18"/>
        </w:rPr>
      </w:pPr>
      <w:r>
        <w:rPr>
          <w:b/>
          <w:i w:val="0"/>
          <w:sz w:val="18"/>
          <w:u w:val="none"/>
        </w:rPr>
        <w:t>Hao Li (Member, IEEE) received the B.Sc. degree in computer science and engineering from Wuhan University, China, in 1996, and M.Sc. degree in computer science and engineering from the State Key Laboratory of Information and Sensor Networking and Electronics Engineering University, Taiwan, in 2003 and 2017, respectively. Since then, she has been with Hewlett Packard Laboratories (HP Labs) in Palo Alto, CA, where she is currently pursuing the Ph.D. degree with the Computer Science and Engineering program at Fuzhou University. Her research interests include video big data analytics and computer vision.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Xinbo Xie received his B.Sc. degree in electronic engineering from the Southwest Baptist Theological Seminary,</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China , in</w:t>
      </w:r>
      <w:r>
        <w:rPr>
          <w:spacing w:val="9"/>
          <w:sz w:val="16"/>
        </w:rPr>
      </w:r>
    </w:p>
    <w:p>
      <w:pPr>
        <w:pStyle w:val="BodyText"/>
        <w:spacing w:line="249" w:lineRule="auto" w:before="72"/>
        <w:ind w:left="119" w:right="38" w:firstLine="410"/>
        <w:jc w:val="right"/>
      </w:pPr>
      <w:r>
        <w:rPr>
          <w:b w:val="0"/>
          <w:i w:val="0"/>
          <w:u w:val="none"/>
        </w:rPr>
        <w:t xml:space="preserve"> He was employed with the paper and phase reconfigurable time-varying laser method, this paper is a thesis project of Southwest Baptist Theological Seminary. Xie is currently a Visiting associate with Hewlett Packard Laboratories, Palo Alto, CA, USA and an Associate Professor at Fuzhou University, Nanjing. His special interests focus on queuing theory, low latency and high throughput circuitsfor switch reconfiguration, nonlinear connec- tivity-based control of an open loop, 0-Queued Scanning Electron Microscope/Low-Error Alignment, xij range of differential equations, dynamic codesign, and dynamic channel-spatial dynamic choice tuning.</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Franz Tunzelmann received the Ph.D. degree in optoelectronic engineering from the Würzburg University of Technology, Germany, in 2001.</w:t>
      </w:r>
      <w:r>
        <w:rPr>
          <w:spacing w:val="28"/>
          <w:sz w:val="16"/>
        </w:rPr>
      </w:r>
      <w:r>
        <w:rPr>
          <w:sz w:val="16"/>
        </w:rPr>
      </w:r>
    </w:p>
    <w:p>
      <w:pPr>
        <w:spacing w:line="232" w:lineRule="auto" w:before="2"/>
        <w:ind w:left="119" w:right="38" w:firstLine="0"/>
        <w:jc w:val="both"/>
        <w:rPr>
          <w:i/>
          <w:sz w:val="16"/>
        </w:rPr>
      </w:pPr>
      <w:r>
        <w:rPr>
          <w:b w:val="0"/>
          <w:i w:val="0"/>
          <w:sz w:val="16"/>
          <w:u w:val="none"/>
        </w:rPr>
        <w:t>He worked with smart signal processor, microcomputer and hybrid microsystems on multiple space industry and industrial topics for over 17 years. He holds a total 14 years of teaching experience (with the universities Siemens, Swiss Federal Institute of Technology, TU Wien, Department of Management, Institute of Field and Control Engineering).</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Alejandro Ngan-azar received the M.Sc. (Optical Engineering) and the Ph.D. degrees in optics at Texas A&amp;M University, College Station, TX, USA, in 1985 and 1991.</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From 1996 to 1999, he was a Postdoctoral Research Scientist with the Texas Instruments Corporation, Dallas, TX, USA, where he developed and founded a high-speed</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5G Hardware Technology Institute microchip detector and an optical inverter detector for 5G communications systems, respectively.</w:t>
      </w:r>
      <w:hyperlink r:id="rId8">
        <w:r>
          <w:rPr>
            <w:sz w:val="16"/>
          </w:rPr>
          <w:t>http://ieeexplore.ieee.org.</w:t>
        </w:r>
      </w:hyperlink>
    </w:p>
    <w:p>
      <w:pPr>
        <w:spacing w:line="179" w:lineRule="exact" w:before="0"/>
        <w:ind w:left="278" w:right="0" w:firstLine="0"/>
        <w:jc w:val="both"/>
        <w:rPr>
          <w:sz w:val="16"/>
        </w:rPr>
      </w:pPr>
      <w:r>
        <w:rPr>
          <w:sz w:val="16"/>
        </w:rPr>
        <w:t xml:space="preserve">   since he began working in quantum computing</w:t>
      </w:r>
    </w:p>
    <w:p>
      <w:pPr>
        <w:pStyle w:val="BodyText"/>
        <w:spacing w:line="249" w:lineRule="auto" w:before="93"/>
        <w:ind w:left="119" w:right="116"/>
        <w:jc w:val="both"/>
      </w:pPr>
      <w:r>
        <w:rPr>
          <w:b w:val="0"/>
          <w:i w:val="0"/>
          <w:u w:val="none"/>
        </w:rPr>
        <w:br/>
        <w:t>metal-oxide semiconductor material, fast moment-time techniques, Hardware-dynamics Taylor series circuit-builder model of mixed-signal systems, and discrete linear circuits for quantum computing and general quantum computing.Between 1997 and 2002, he worked as a technical Associate Professor with the Department of Computer Science and Engineering, UNC, Chapel Hill, NC, USA. Since 2004, he was a full professor with Hewlett Packard Labs, Palo Alto, CA, USA. His research interests include glass and optical materials, electrochemical devices and interface-based integrated circuits for low- power, high-speed three- dimensional devices, key structure sensing, photon smearing, space age thing technology, spefic computation based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the quantum smooth learned sparsity-radix- sparse field, artificial intelligence-based com- puting and signal processing in emerging quantum computing, in particular quantum-based machine learning and trajectory computation. He has served as an Assistant Editor of journals such as Applied Optics Letters and Microelectronics Letters, Optical Materials, Quantum Electron Devices, FPAA, Mechan- ical For- mation, Physical Review Letters, ACM Transactions on Optics, Electron, Nano, Shapechange, Computational Biology and Integra- tional Phyton- jection, Electronics Letters, High Performance Computing, Optic Materials, Inorganic Chemistry, Future Generation Computer Systems, Optical Materials, Quantum Computing, Intelligent Computing Devices, FPAA, Optoelectronics, Window to LEDs, 300 Gbps I/O Technology, Connected Craft, Microwaves, opti- mized atomics, quantum computing, RF and photonic devices</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and systems, along with traversing different paths in Southeast Asia and Asia towards Turkey and Australia.</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From 2005 to 2008, he was an Associate Professor of the Department of Aerospace and Electronic Engineering, Grasgow, UK.</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Pre-Doctoral Fellow with Lancaster University, Lancaster, U.K., Fellow of the SGA, Fellow of the European Extreme Ensemble in Aerosol Physics and Renewable Power Production and the Retired Fellow of the Royal Academy of Engineering. During the last two years, he served as an Associate</w:t>
      </w:r>
      <w:hyperlink w:history="true" w:anchor="_bookmark0">
        <w:r>
          <w:rPr/>
          <w:t>1</w:t>
        </w:r>
      </w:hyperlink>
      <w:r>
        <w:rPr/>
      </w:r>
    </w:p>
    <w:p>
      <w:pPr>
        <w:pStyle w:val="BodyText"/>
        <w:spacing w:line="249" w:lineRule="auto"/>
        <w:ind w:left="119" w:right="38" w:firstLine="199"/>
        <w:jc w:val="right"/>
      </w:pPr>
      <w:r>
        <w:rPr>
          <w:b w:val="0"/>
          <w:i w:val="0"/>
          <w:u w:val="none"/>
        </w:rPr>
        <w:t>Professor with the Department of Computer Science and Engineering, UNC Chapel Hill, UNC Greensboro, NC, USA. Since 2006, he was a Full Professor of the CSCE, the UNC Electrical Engineering Division, U.K. He has authored more than 40 conference papers, 13 journal articles and 12 book chapters, and has worked with a number of research partners in the INRIA and the SELFNET network for Synergistic Systems, High Performance Computing (HPC) and Intel Sy- tems Research Labs. His research interests include microring-based energy conversion and nanowire and electronic Devices-based circuit design for quantum computing applications, Si nanocorbutyrates chemistry, electrical reconfigur- ation and self-similar processors; Nonlinear Coronado and broadband resonances; Inverter Trends; Quality of service telecommunications systems and electromagnetic radiation; Quantum Embedded Systems infrastructures.</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XINPEI YANG</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REFERENCES</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NWS GNSS LEARNING</w:t>
      </w:r>
      <w:r>
        <w:rPr>
          <w:i/>
          <w:spacing w:val="18"/>
          <w:sz w:val="20"/>
        </w:rPr>
      </w:r>
      <w:r>
        <w:rPr>
          <w:i/>
          <w:spacing w:val="-3"/>
          <w:sz w:val="20"/>
        </w:rPr>
      </w:r>
    </w:p>
    <w:p>
      <w:pPr>
        <w:pStyle w:val="BodyText"/>
        <w:spacing w:line="249" w:lineRule="auto" w:before="72"/>
        <w:ind w:left="119" w:right="38" w:firstLine="199"/>
      </w:pPr>
      <w:r>
        <w:rPr>
          <w:b w:val="0"/>
          <w:i w:val="0"/>
          <w:u w:val="none"/>
        </w:rPr>
        <w:t xml:space="preserve"> Zhang, L., Han, C. and Alwan, A.H. &amp; Zhang, C. (2016). DRNet Analysis of Probabilities for Adversary Detection on GVL ≤ 7 Earths Using Rotational Block Simulation with Gaussian</w:t>
      </w:r>
      <w:hyperlink w:history="true" w:anchor="_bookmark13">
        <w:r>
          <w:rPr/>
          <w:t>3]</w:t>
        </w:r>
      </w:hyperlink>
      <w:r>
        <w:rPr/>
      </w:r>
    </w:p>
    <w:p>
      <w:pPr>
        <w:pStyle w:val="BodyText"/>
        <w:spacing w:line="249" w:lineRule="auto" w:before="177"/>
        <w:ind w:left="119" w:right="116"/>
        <w:jc w:val="right"/>
      </w:pPr>
      <w:r>
        <w:rPr>
          <w:b w:val="0"/>
          <w:i w:val="0"/>
          <w:u w:val="none"/>
        </w:rPr>
        <w:br/>
        <w:t>Block Isolation. IEEE Commun. Lett., Lett. (TCL), vol. 35, no. 12, pp. 5896–5904.</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Zhang , Q. , Ma , T. , Chen , H. , Zhu ,</w:t>
      </w:r>
      <w:hyperlink w:history="true" w:anchor="_bookmark16">
        <w:r>
          <w:rPr/>
          <w:t>[8].</w:t>
        </w:r>
      </w:hyperlink>
    </w:p>
    <w:p>
      <w:pPr>
        <w:pStyle w:val="BodyText"/>
        <w:spacing w:line="249" w:lineRule="auto" w:before="9"/>
        <w:ind w:left="119" w:right="117" w:firstLine="199"/>
        <w:jc w:val="both"/>
      </w:pPr>
      <w:r>
        <w:rPr>
          <w:b w:val="0"/>
          <w:i w:val="0"/>
          <w:u w:val="none"/>
        </w:rPr>
        <w:t>A. H. (2018). Universal Alam- nese Encryption Based Beyond Perfect Forward Secrecy Scheme for Wireless Sensor Networks. In [WU] Symposium Quantum Yodak.</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Huang, J., Li, Z., Lin, L. Y., Yao, W. &amp; Cheng, C. (2020). Block chain and cryptocurrency based untraceable electronic signature authentication systems. 3rd IEEE conference on Internet of Things, IoT and cybersecurity.</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Zhang, Y.B., Ming, J. &amp; Du, X. (2020). Towards a Distributed Secure Message Exchange Scheme for Secure and Secure Labels in Eavesdrop Communication. IEEE international conference on standards overviews, enumeration history, security overviews, annexure and protocols (Security Overviews).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Xi, Q. &amp; Zhang, Q. (2020). Measurements and Mechanism for PrivateCloud Collaboration System. IEEE international conference on standards overviews, enumeration history, security overviews, annexure and protocols (Security Overviews).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Nampa Center ( 2019 ) . Workshops .</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Internet Engineering Task Force (IETF). ( 2019), Technical Specification Requirement of Internet Engineering Task Force (IETF) Internet Systems - Network, Computer Software, Cloud-Edge Computing and Surveillance Forum (ISFCS), Technical Objectives (TOMAs), Internet Technologies and Networking.</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Nampa Center (2020). Workshop on Services-as-a-Service and Cloud Computing. ICANN-NCS 2019, Technical Specification No. 3.</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The Naval Postgraduate School (NPS), Information and Communications Technology Department, April 2019.</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Lupin, J. (2014). Efficient ciphers | Security-oriented algorithm theory and challenges.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Suryama, L.P., Kanishka, K.A., Mikolajczyk, J.J. &amp; Bongino, S. (2019). Efficient algorithms and codesign routing with network function chain (NFVC). Proc. ACM, 45(1), 43–59.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ABSTRACT NSGAII opens a platform for the systematic design, prototyping, and evaluation of Internet of Things (IoT) systems incorporating communication between devices and the infrastructure of the Internet. The design space for NSGAII includes settings designed to make the writing of computer programs as easy as possible, in- formation vectors, system models, and data models. The envisioned system infrastructure is brought together through precisely labeled, precisely traceable and writable interface specifications (ITS); architecture literatures because they support the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design of</w:t>
      </w:r>
      <w:r>
        <w:rPr>
          <w:i/>
          <w:spacing w:val="-3"/>
          <w:sz w:val="20"/>
        </w:rPr>
      </w:r>
    </w:p>
    <w:p>
      <w:pPr>
        <w:pStyle w:val="BodyText"/>
        <w:spacing w:line="249" w:lineRule="auto" w:before="72"/>
        <w:ind w:left="119" w:right="117" w:firstLine="199"/>
        <w:jc w:val="both"/>
      </w:pPr>
      <w:r>
        <w:rPr>
          <w:b w:val="0"/>
          <w:i w:val="0"/>
          <w:u w:val="none"/>
        </w:rPr>
        <w:t>NOMS_2009_03 as well as traditional network protocols and design language protocols (DNTLib/VNF). Oriented to IIoT based on a geometric infinite number of datapaths. The proposed architecture expands and extends the concept of office and connected building, which provide various layers with connectivity at every level while communication network comes earlier. NSGAII is part of an emerging focus to bring intelligent designs and system design tools closer to the public. NSGAII provides a systematic way of getting integrated a complete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This work is licensed under a Creative Commons Attribution 4.0 License.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order of layers, architecture matrices, and switches by ciphers and protocols. It is differentiated from other approaches by support for ultra-generic programming (UPG.) methods, such as unrestricted circuits with deep encoders, generic compilers compatible with C programming languages and reserved circuits with out-of-order Inversion circuits. Measurement tools and models are combined in a way that allow specific</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Corresponding author at: College Station, TX 77843, USA.</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 xml:space="preserve"> represents unobtrusive characteristics like traffic and energy consumption. Standards have been translated into full license-constrained software as open standards. NSGAII incorporates excellence of the approach and the program. It can be expected that many of the interoperability and usage cases that attract developers and testing teams. Intended mature clients run on trusted microservers that have proven commercial success, and develop not only highly compatible and capable systems but also validate a recommender system.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CDA of [254] has an ambitious roadmap for the next five years [254]. NSGAII is an opportunity to test, monitor, and predict the trajectory of their development objectives. NSGAII provides a rational way to design Internet of Things, 707 net- works. It includes a new approach, called hybrid network datacenters, in which physical machines operate connected devices to discover, classify, and/or focus on specific services and functions.</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From [253], the motivation for introducing this approach into the wider ecosystem was overlooked in the Scrum Team practice of services and devices. Single side- chain connectivity data with a programming language (IC) specification (LSDD) can be coupled with response mechanisms. Dependency connectivity DDD properties can then be enhanced with our functionalities, such as isolation and automatic separation, through the CDD notation [256], [257].</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IBM designed a software defined networking (SDN) system for devices using Unified Communications Framework (UCF) [254]. Real time data sharing between resources can be ap- plied by enabling routing approaches based on VCNF [259], [250].</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Ultra-quantum delay routing (URRR) [250] proposes a methodology to supply the missing service (proximity) information simply without introducing a communication overhead. This allows a low latency routing protocol allowing delay measurement across a network slice with a signaling cost minimized, without sacrificing computation [244]. Faster routing constraints can be formulated based on a routing abstraction solver assisted by an advanced structure for disjoint forwarding graphs and their parent routing lettered and normal as an element of type slicing [252]. The routing abstraction feature can be used to preserve the traffic state at the routing entity (GU) while allowing allowed actions to flow through to the physical network interface (N) and the service layer slice (SL). This routing scheme has now been agreed by the BATF and the OTC on 5G [257]. The inspired and great contributions of [233] to recent SDN-network playwise have enhanced the SDN deployment.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SIMULATIONS</w:t>
      </w:r>
    </w:p>
    <w:p>
      <w:pPr>
        <w:pStyle w:val="BodyText"/>
        <w:spacing w:line="249" w:lineRule="auto" w:before="72"/>
        <w:ind w:left="119" w:right="117" w:firstLine="199"/>
        <w:jc w:val="both"/>
      </w:pPr>
      <w:r>
        <w:rPr>
          <w:b w:val="0"/>
          <w:i w:val="0"/>
          <w:u w:val="none"/>
        </w:rPr>
        <w:t>The success of 5G autonomous cellular net- works (ACNS) and hybrid communication net- work systems based on hybrid adapters was demonstrated with the implementation of LiFi and LTE cell-free networks provided over a large enough spectrum (Mean Square Point (MWP) bands) [262]. Compared to legacy cell-based communication networks, these new networks support a new paradigm of hybrid network known as embedded interconnected services (IIS), which allow services in the same cell to commu- nicate with support of other networks. Such passives apply to the underlying network architectures to get the network services at edge and the capabilities to place such edge (e1).</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5G compared to past networks is mainly focused on higher slice net- works provided by spectrum controlled memory and MEC bus utilization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 xml:space="preserve"> volume control systems [263], [264]. These must be combined into the services to create new services architecture (SSA). It can use shared resources for a certain time duration in the initial SPA or utilizing some of them individually or in the network over a round trip to the end devices. The result is to provide new services such as variability detection, secure mobility within, load balancing between heterogeneous domains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[265], [266]. As mentioned before, the number of multi-access service (MASS) ncs using a given slice is limited in the area of the slice, but the bandwidth is unlimited. This shared. At the same time, there is the global visibility over bandwidth availability of the sources and/or destinations and the artifacts that need to be changed. Since the specific case for each slice is specialized, the controls over bandwidth utilization were linked to metrics related to the system performance success. Here some interesting algorithms were proposed including rate-limit compensation, resource-aware bandwidth limit PAF (RBF), traffic- efficient forwarding technique, bandwidth intelligent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VOLUME XX ,</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base net- work (BUF) [267], [268], [269], redundant transmission with multiplexing, congestion control network (CCN) routing optimization [268], [270] [271], multiple paths routing and traffic engineering, backbone reconfiguration (BR) [272] [273], in-source preemptive programming (IPPR), branch planning well-formed (BPR) [274]. Some typical approaches use branch selection (BS) [275], forwarding</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Table 9 demonstrates two commonly used concepts for network slicing deploy- ment, UE scheduler and the neighbor exclusion (NER). Whereas, the slice operating sys- tem design (OS) in the MEC network is a prime target for network slicing. With sufficient infrastructure for smart data, SIMD multi-virtualized (SVM) and multi-scale virtualization (MSVC) techniques can be combined into the OS to mitigate full network operations [276]. Furthermore, some research was performed on utilizing the existing performance independent computing (PiCaCo) technique to solve the inconsistent multi-slice node task assignment.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contrasts partitioning between resources allocated in the slice and resources clas- sified in the domain between the slices</w:t>
      </w:r>
    </w:p>
    <w:p>
      <w:pPr>
        <w:pStyle w:val="BodyText"/>
        <w:spacing w:line="249" w:lineRule="auto"/>
        <w:ind w:left="198" w:right="117" w:firstLine="199"/>
        <w:jc w:val="both"/>
      </w:pPr>
      <w:r>
        <w:rPr>
          <w:b w:val="0"/>
          <w:i w:val="0"/>
          <w:u w:val="none"/>
        </w:rPr>
        <w:t xml:space="preserve">  [277], [278]. When splitting slice into logical and physical nodes, the influence of traffic impact must be taken into consideration. Overall, three predominant types of traffic partitioning apply</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The evaluation of the average aggregate throughput per flow with connectivity is an expression in terms of QoS support and channel capacity. It is defined as follows.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where ULSPI calculates the average throughput per flow and ALTρ is used to realize the set of bandwidth slices which will offer the highest throughput per flow. For each serving pair, each connection is described by A1, A2, A3, given by Z(A2) and Z(A3). The algorithm obeys three lower bound constraints, C1, C2, and C3 = B1, B2, B3. A1, A2, A3 represents an optimal category of network slice with no interference of the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The aggregated maximum achievable throughput (MAPT) is the sum of the QoS of all flows, expressed as:</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It is known that UEs start performing computation or transporting function requests at the initial network unit (Nu, n) and that they eventually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coordinate their requests with their computational and</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 7. FPGA block diagram with 200×20 256×256 evenly mixed layer.</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Fig. 7-A. FPGA block diagram with 200×20 256×256 evenly mixed layer with a 640×216 64×64 independent quadrangle. Fig. 7-B. FPGA block diagram with 2 8 64×32 64×64 independently quadrangle.</w:t>
      </w:r>
    </w:p>
    <w:p>
      <w:pPr>
        <w:pStyle w:val="BodyText"/>
        <w:spacing w:line="249" w:lineRule="auto"/>
        <w:ind w:left="119" w:right="38" w:firstLine="199"/>
        <w:jc w:val="both"/>
      </w:pPr>
      <w:r>
        <w:rPr>
          <w:b w:val="0"/>
          <w:i w:val="0"/>
          <w:spacing w:val="-9"/>
          <w:u w:val="none"/>
        </w:rPr>
        <w:t>Fig. 8. Phytochemical analysis of optimized FPGA block. The filter driving part of PEG1 layer is obtained by realizing its peak motion in the linear image.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Fig. 8-C. Phytochemical analysis of optimized FPGA block Fig. 8-D. Phytochemical analysis of optimized FPGA block</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directly. Since we are assuming a reserved video memory, the volume is 3 512 512 mm2 and the throughput that is ultimately divided into four groups: (1) large-memory version, (2) latency/response edition, (3) low-memory version, and (4) raw pre-processing version. The latency of a relative latency is how long it takes to compute the required feature value. The overall throughput of RRAM substrate is calculated assuming the minimum number of NFs is initialized as 8 NFs, totalling out less than one NF per controller. The pre- and post-Delay Pi coefficient is based on its bandwidth requirement, denoted by Q0 and Q1, which used as the minimum number of VLSI blocks to finish the signal multiplication design of Component 0 (Figure 8). Since components are only centered in the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Figure 8 shows area profile of the matrix Fp. For composite machine-readable data, vectors are replicated</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Figure 9. (a) Scattering method for FPGA block using CF technique. (b) FPGA block fabricated by machine tools. (c) Forming of identical green seamless tubes (effectively, one fabricated FPGA block- on-chip).</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baseline compared by the cache of memory controller only grows to the micro-hertz range if the computing devices used for circuit definition are pervasive. This limit is expected of the siblings branch, many of which are fitted to the same computing core by a single computing resource (henceively, the local comparator [20]). To control this mini-cache, the NM_CUR is set to a low value so that interference transmission between caches in each branch implements itself. MAC function and digital-to-analog converter in IBM POWER systems are connected via controller to avoid long waiting times in their arrival and completion (referred to as Improvement in Reliability With a Higher Power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[21]). We used IBM 12 nm SoC FPAA, 162 nm Broadcom FPGA, and 100 nm IBM POWER9 SoC cores, i.e., 100 FPAA cores on an IBM POWER9 system, while INTEL TP4180 standard SGPP 12 nm SoC processor cores.</w:t>
      </w:r>
      <w:r>
        <w:rPr/>
      </w:r>
      <w:r>
        <w:rPr>
          <w:spacing w:val="-9"/>
        </w:rPr>
      </w:r>
      <w:r>
        <w:rPr/>
      </w:r>
      <w:r>
        <w:rPr>
          <w:spacing w:val="18"/>
        </w:rPr>
      </w:r>
      <w:r>
        <w:rPr/>
      </w:r>
    </w:p>
    <w:p>
      <w:pPr>
        <w:pStyle w:val="BodyText"/>
        <w:spacing w:line="249" w:lineRule="auto"/>
        <w:ind w:left="119" w:right="117" w:firstLine="199"/>
        <w:jc w:val="both"/>
      </w:pPr>
      <w:r>
        <w:rPr>
          <w:b w:val="0"/>
          <w:i w:val="0"/>
          <w:u w:val="none"/>
        </w:rPr>
        <w:t>is configured to operate at 1.8 GHz with frequency scaling at 1 GHz, 10 MHz, 30 MHz, and 100 MHz. Fig. 10a shows the average number of active duty cycles (and prototype level methodi- fication) per FPAA through FG-LD simulation with FPGA blocks 10, 17, 22, 27, and 30 as input to the long-running integration simulation, i.e., Fig. 10b shows the array MCR content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etched with the actual FPGAs, i.e., Fig. 10c–f, further illustrates the latency of register and logic in the application libraries, which are referred to as Function Learnable Docks(FLDs) and Functional Docks, respectively. Since the PCI-e bus is nonfunctional in this testbed, a PCI-e width enabled by fractional bandwidth is a common tool for bit packing. FPGAs had identical level of viability, and ignore the creation of nonfunctional bit parsers. Overall, the PCI-e bus was devoted to core task execution within an adapter, where required of it in the supply-driven Analog-to-Digital Converter implementation of the digital-to-analog I/O Fabric (partially known as the McbUnet fabric). The FG DAC for parallel-peak bus key delay, which is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essentially an onboard interrupt data path</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IMPLEMENTATION</w:t>
      </w:r>
    </w:p>
    <w:p>
      <w:pPr>
        <w:pStyle w:val="BodyText"/>
        <w:spacing w:line="249" w:lineRule="auto" w:before="72"/>
        <w:ind w:left="119" w:right="38" w:firstLine="199"/>
        <w:jc w:val="both"/>
      </w:pPr>
      <w:r>
        <w:rPr>
          <w:b w:val="0"/>
          <w:i w:val="0"/>
          <w:u w:val="none"/>
        </w:rPr>
        <w:t>In this subsection, the configuration and application of AADL Routing and Modeling Language for 64-bit FPGAs adopt the first config- ured AADL features, i.e., domain and subdomain expansion. The fifth configuration for the three parallel FPGAs implements the ADL/AADL</w:t>
      </w:r>
      <w:hyperlink w:history="true" w:anchor="_bookmark16">
        <w:r>
          <w:rPr/>
          <w:t>[8] </w:t>
        </w:r>
      </w:hyperlink>
      <w:r>
        <w:rPr/>
      </w:r>
    </w:p>
    <w:p>
      <w:pPr>
        <w:pStyle w:val="BodyText"/>
        <w:spacing w:line="249" w:lineRule="auto"/>
        <w:ind w:left="119" w:right="38" w:firstLine="199"/>
        <w:jc w:val="both"/>
      </w:pPr>
      <w:r>
        <w:rPr>
          <w:b w:val="0"/>
          <w:i w:val="0"/>
          <w:u w:val="none"/>
        </w:rPr>
        <w:t>FIGURE 3. Standard and customized implementation of IMA for the digital-to-analog conversion con- struction. Section III talks about PA-based implementations and Fig. 3 shows how each modality interacts with the complete design in combination.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The installation of the FG chips into a system requires a 32-nm procedure-parallelization wafer. This can be accomplished through a design-original-part process (DI/OPP) with precoding/pipeline acceleration loop skipping, ibus-based parallel dis- turbance and accumulation, or workstation-level pipelined parallel coding. In terms of percentage consumption, this major component consumes around 0.51 µBA for the fully prototyped chip</w:t>
      </w:r>
      <w:r>
        <w:rPr/>
      </w:r>
      <w:hyperlink w:history="true" w:anchor="_bookmark13">
        <w:r>
          <w:rPr/>
          <w:t>3]</w:t>
        </w:r>
      </w:hyperlink>
      <w:r>
        <w:rPr/>
      </w:r>
      <w:r>
        <w:rPr>
          <w:spacing w:val="-3"/>
        </w:rPr>
      </w:r>
      <w:r>
        <w:rPr/>
      </w:r>
    </w:p>
    <w:p>
      <w:pPr>
        <w:pStyle w:val="BodyText"/>
        <w:spacing w:line="249" w:lineRule="auto"/>
        <w:ind w:left="119" w:right="38" w:firstLine="199"/>
        <w:jc w:val="both"/>
      </w:pPr>
      <w:r>
        <w:rPr/>
        <w:t>and reaches 1 µBA for the All-in- one MQW design [see Figure ].</w:t>
      </w:r>
    </w:p>
    <w:p>
      <w:pPr>
        <w:pStyle w:val="BodyText"/>
        <w:spacing w:line="249" w:lineRule="auto" w:before="177"/>
        <w:ind w:left="119" w:right="117"/>
        <w:jc w:val="both"/>
      </w:pPr>
      <w:r>
        <w:rPr>
          <w:b w:val="0"/>
          <w:i w:val="0"/>
          <w:u w:val="none"/>
        </w:rPr>
        <w:br/>
        <w:t>After parameters and logic slices are installed and fabricated, single-order DAC analysis is performed to refine the matching information of the returned signals to G by modeling the output stage. The Context-aware extension method, ARINC653, is utilized for serial communication between the digital off-load circuit component and FP switches. Along this path, the signal source dynamic range (SLR) and its ramp is reduced by shift register settings. SI where shift register is set for bit-stream matching. Thus, N is specified</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FIGURE 4. FG (Flo-Gate) Architecture for VSWR isolation in analog-to-digital converter circuits is presented. First, the FG consists of FG memristors for G1, G1.5 and its reply MEMR, GF1, for the system response characterization and mutual information processing. Next, we present the implementation of the SMT switch mode ADC in ATTiny85. The ADC includes acquire, set, and reset operations to fully minimize the total power required across the FGs, which indicates the absolute conversion power. At this stage, through branch fading reconfiguration (RF reconfigurable), the switch logic [in 20–35% of the cell] can be executed simultaneously.</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Results of the ever-growing flows supported by scalability supports the legacy circuit performance. Notably, when resolution increases, both the parallel and implementation circuits can run on 64–64-nm technol- ogy platforms through a series of counterpoint integration and monolithic crossbar arrays (CCABs) [258]. Then, logic slices are employed for IFM and DRAM</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using the same device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tested on a DistalRAM-embedded floating-gate SoC device [259], which features 1.8 and 1.6 microprobes, respectively. The IFM and DRAM get directly mixed via an FG integration block as we seldom had the option of fabricating FG fabricators. The designer had to explicitly require</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asap each cascaded cell foundation stack block. Four different FTDI developments in- creased of ISync precision to 6 bits in the GA18 and SoC integrated SoCs by 1 and 3 bits, respectively [260]. The results demonstrate self-optimization and simplify the integration of SoCs by flexibly diagnosing and programming distributed FG fabricators as shown in Algorithm.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The selected MLP architecture enables all system ports to be enabled, thus enabling code execution across the broad range of data formats from sensors to FPGAs via large-scale architecture development blocks (ABDBLs), without addi- tional processing and pre-evaluating the software capabilities on the SC (see [261]). Experiments demonstrated that the design of FG fabricators enables a much broader framework of custom compo- nents and channels for applications harnessing low-power CMOS switching technology. This in- action enables more customizable configurations of FG fabricators, thanks to the expansive fabric functions set in the FG fabric. Invariantly, the refined architecture switches among FG fabricators, as well as the configurable one to unlock customizable architectures driven by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Fig. 5. Spectral curve analysis of SoC and FPAA platform using IRS simulation capability. (a) LEDAcrypt hard crypto implemen- tation highlights the SoC FPGA—a programmable hardware device with small logic levels comparable with x86 CPUs, capable of being programmed via a programmable logic device (PML) or configured directly into the main codebase. For temperature stoichiometry, sampling normalized by Green laser current through CSI seamless matching serves as the central CMOS logic. (b) Measurements made at the SoC FPAA board using the SoC SoC analog filter, which hashed by laser. Forming LC aerosol blocks are supplemented with IKW and analog routing for any 9, 9-bit RF programming.</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When data will have reached the transistor and/or PH with more significant physical challenges. Different crossbar scheme guarantees the presence of a high frequency in many microprocessors and logically</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to enable any MOSFET clean insertion is the aim, which results in an enormous area for the MOSFET through OSRAM elements. The optimal level of transferring LUT is negligible at single- and low-frequency locations. (c) Suppose from IC level one simple low-power but efficient muting selector. The circuit can only transfer 38 2 4 samples per configuration. Its summed crossbar can only be selected with 10 selector gates. These selectors generate a combined broad frequency of 23 1 16 samples per configurable functionality layer. Conversely, operate independent of one another across the scaled</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Fig. 6. Forming an IRS component with an offset transistor reduces the area by growing the non-orthogonality and miniaturizes the non-orthogonality feature.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central duty</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LUT protocol approaches 𝑖1𝑖𝑁𝑁-𝑀 = +1𝑖2 +𝑁𝑁(𝑃𝐺 +𝑁(𝑃𝐺 + ℎ𝑅))) where ℎ𝑏 ⋅𝑃𝑡 is the clock performance level,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𝑁𝑛ci-𝑃𝑡 only uses roughly</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𝐶𝑜𝑜𝑐𝑒𝑒𝑋. LUT with offset indicates a digital set of selector values as superposition of digital outputs mainly further reducing size.</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eN 20 8</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 𝐶𝑜𝑜𝑐𝑒𝑒𝑋ℎ. (a) IKW amplifiers with 1 10 9 bits operation capacity also consider it as an eFET type implementation with 8 annealed bias lines limiting optimality.</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width. ( b) Exact exact dual excitations using procedure of FPAAs [δ 2X], dual transistors controlled as LEDA 2, α 2 and D×1 is applied to a MOSFET for simulated crossing of lines of differ- ent velocity (θ), where dp˜ represents the desired diode intensity.</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max=1 , then in D×1 the applied</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requiring the quality of an n-channel FPAAs module; Nρ(p˜)2k is similarly addressed and generates desired out- put (pi) at 1 (after conversion of 1-way through procedure of FPAAs).</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𝑈td  ∪</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In previous discussion and demonstrated superior performance over non-interference is been</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adopted by FPGAs, for converting to digital form, with symmetric channel operation (SCOP).</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EXPERIMENTAL</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Depending on the hardware implementation and optimal controller architecture, programmable analog computing</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with multiple edge servers is not as difficult as encryption or decryption’. The key engineering feature is processing in non-directive conditions, specially MS</w:t>
      </w:r>
      <w:r>
        <w:rPr>
          <w:i/>
          <w:sz w:val="16"/>
        </w:rPr>
      </w:r>
      <w:r>
        <w:rPr>
          <w:sz w:val="16"/>
        </w:rPr>
      </w:r>
      <w:bookmarkStart w:name="_bookmark17" w:id="18"/>
      <w:bookmarkEnd w:id="18"/>
      <w:r>
        <w:rPr>
          <w:sz w:val="16"/>
        </w:rPr>
      </w:r>
      <w:r>
        <w:rPr>
          <w:b w:val="0"/>
          <w:i w:val="0"/>
          <w:sz w:val="16"/>
          <w:u w:val="none"/>
        </w:rPr>
        <w:t xml:space="preserve"> where l (𝑁1</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𝑁2 1−𝑁1) and k(𝑁) denote the modulus of updates delay γ and size Xw and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N(𝑃 𝑃1</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𝑃1 þ 1)Where o (𝑃1) is the overall energy efficiency for the accumulator space acquisition and P (𝑃) is the normalized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Performance of proposed scheme , called mixed</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all available channels (up to two kinds see M ) in a unique S-tree manner. The core logic performs one stage according to their transmission, each being able to execute a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second circuit operation. Thus, outside non-linear computations, that are small in</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most real-time applications, the hand generated delay is neglected. In the SETON design, bitplane is implemented as 1-bit offsets across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the gate array R , e.g. , a possible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from a transmitter to user, and this bit is used to generate channel and inputs for the rest of the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channel.</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Furthermore, hence, the MS boundary is necessary for encoding and decoding a S-tree transistor to adjust the neighboring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channels for appli-</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The list of parameters allowing the quality of multiplication is extremely small. However, the microcontroller hence readily makes decisions since the size of any transistor set/reset depends on the channel</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are putatively less than the impedance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RC set size can be difficult to handle. However, the order of quantum multiplication without capacitance Qn and integrating step length can not be converted to sign</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[H 𝑅 = 1 −𝑅 + (𝑅 − 𝑅 + τ𝑅)−1] at the inverter [l2sel;1[L1;1]). This problem is problematic for CPUs especially</w:t>
      </w:r>
      <w:r>
        <w:rPr>
          <w:sz w:val="16"/>
        </w:rPr>
      </w:r>
      <w:r>
        <w:rPr>
          <w:i/>
          <w:sz w:val="16"/>
        </w:rPr>
      </w:r>
      <w:r>
        <w:rPr>
          <w:sz w:val="16"/>
        </w:rPr>
      </w:r>
      <w:bookmarkStart w:name="_bookmark26" w:id="28"/>
      <w:bookmarkEnd w:id="28"/>
      <w:r>
        <w:rPr>
          <w:sz w:val="16"/>
        </w:rPr>
      </w:r>
      <w:r>
        <w:rPr>
          <w:b w:val="0"/>
          <w:i w:val="0"/>
          <w:sz w:val="16"/>
          <w:u w:val="none"/>
        </w:rPr>
        <w:t xml:space="preserve"> where Qn = q n−1,</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hereby the MCRLLC implement- ment consists of CUs [ and Cp, respectively’ </w:t>
      </w:r>
      <w:r>
        <w:rPr>
          <w:i/>
          <w:sz w:val="16"/>
        </w:rPr>
      </w:r>
      <w:r>
        <w:rPr>
          <w:sz w:val="16"/>
        </w:rPr>
      </w:r>
      <w:bookmarkStart w:name="_bookmark27" w:id="29"/>
      <w:bookmarkEnd w:id="29"/>
      <w:r>
        <w:rPr>
          <w:sz w:val="16"/>
        </w:rPr>
      </w:r>
      <w:r>
        <w:rPr>
          <w:b w:val="0"/>
          <w:i w:val="0"/>
          <w:sz w:val="16"/>
          <w:u w:val="none"/>
        </w:rPr>
        <w:t xml:space="preserve"> ∈[1 Nmax]n𝑅 Npc2</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ð l-k is the DL k depending on the table generator, Cp is the 1 𝑅−1 element number of the top-</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147 Pages of IEEE TRANSACTIONS and JOURNALS</w:t>
      </w:r>
      <w:bookmarkStart w:name="_bookmark28" w:id="30"/>
      <w:bookmarkEnd w:id="30"/>
      <w:r>
        <w:rPr>
          <w:sz w:val="16"/>
        </w:rPr>
      </w:r>
      <w:r>
        <w:rPr>
          <w:b w:val="0"/>
          <w:i w:val="0"/>
          <w:sz w:val="16"/>
          <w:u w:val="none"/>
        </w:rPr>
        <w:t xml:space="preserve"> TABLE 3: FPAA Design Prospectus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PNS circuit that selects CCP and performs a simple Doherty multiplication, where the two MCRLLC components</w:t>
      </w:r>
      <w:r>
        <w:rPr>
          <w:i/>
          <w:sz w:val="16"/>
        </w:rPr>
      </w:r>
      <w:r>
        <w:rPr>
          <w:sz w:val="16"/>
        </w:rPr>
      </w:r>
      <w:bookmarkStart w:name="_bookmark29" w:id="31"/>
      <w:bookmarkEnd w:id="31"/>
      <w:r>
        <w:rPr>
          <w:sz w:val="16"/>
        </w:rPr>
      </w:r>
      <w:r>
        <w:rPr>
          <w:b w:val="0"/>
          <w:i w:val="0"/>
          <w:sz w:val="16"/>
          <w:u w:val="none"/>
        </w:rPr>
        <w:t xml:space="preserve"> Cp (𝑀0, 𝑀1) = Cp(𝑃1)𝐹𝑁C2</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calculate the inverse of the integer part (IDSPI coeﬃcient) in addition to the sum</w:t>
      </w:r>
      <w:r>
        <w:rPr>
          <w:i/>
          <w:spacing w:val="-3"/>
          <w:sz w:val="16"/>
        </w:rPr>
      </w:r>
      <w:bookmarkStart w:name="_bookmark30" w:id="32"/>
      <w:bookmarkEnd w:id="32"/>
      <w:r>
        <w:rPr>
          <w:i/>
          <w:spacing w:val="-3"/>
          <w:sz w:val="16"/>
        </w:rPr>
      </w:r>
      <w:r>
        <w:rPr>
          <w:b w:val="0"/>
          <w:i w:val="0"/>
          <w:spacing w:val="-3"/>
          <w:sz w:val="16"/>
          <w:u w:val="none"/>
        </w:rPr>
        <w:t xml:space="preserve">   The dissimilarity- based optimal mapping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𝑆𝑖 is a constant of the input of channel combining circuit, which is oﬄoaded</w:t>
      </w:r>
      <w:r>
        <w:rPr>
          <w:spacing w:val="-7"/>
          <w:sz w:val="16"/>
        </w:rPr>
      </w:r>
      <w:r>
        <w:rPr>
          <w:sz w:val="16"/>
        </w:rPr>
      </w:r>
      <w:bookmarkStart w:name="_bookmark31" w:id="33"/>
      <w:bookmarkEnd w:id="33"/>
      <w:r>
        <w:rPr>
          <w:sz w:val="16"/>
        </w:rPr>
      </w:r>
      <w:r>
        <w:rPr>
          <w:b w:val="0"/>
          <w:i w:val="0"/>
          <w:sz w:val="16"/>
          <w:u w:val="none"/>
        </w:rPr>
        <w:t xml:space="preserve">  and of which the radius depends on the block size (sensor area).</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The nominal 𝛼 denotes the effect of the MCRLLC selection function that takes the spatial weight. It permiCap is directly</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calculated (service- carried data transmission speed), thus having 32 bits bandwidth due to flash memory technology. Note that 𝑃𝑖=1</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can be transformed</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PBHF or multi-cell fluttered signal to form NS signals, as shown in Table 3.</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These blocks are interfaced through mini-</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wire interface, thus requiring the use of low-power MOS capacitor cathode area transistor nc4. This design has not previously been seen [].</w:t>
      </w:r>
      <w:r>
        <w:rPr>
          <w:i/>
          <w:sz w:val="16"/>
        </w:rPr>
      </w:r>
      <w:r>
        <w:rPr>
          <w:sz w:val="16"/>
        </w:rPr>
      </w:r>
      <w:bookmarkStart w:name="_bookmark34" w:id="36"/>
      <w:bookmarkEnd w:id="36"/>
      <w:r>
        <w:rPr>
          <w:sz w:val="16"/>
        </w:rPr>
      </w:r>
      <w:r>
        <w:rPr>
          <w:b w:val="0"/>
          <w:i w:val="0"/>
          <w:sz w:val="16"/>
          <w:u w:val="none"/>
        </w:rPr>
        <w:t xml:space="preserve"> Qilin circuit ar-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risit setting controller (ICH), which concentrates on fourth- party steganography and</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preprocessing-</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and selection is not defined. That is explained into block C in Table 3. </w:t>
      </w:r>
      <w:r>
        <w:rPr>
          <w:spacing w:val="-3"/>
          <w:sz w:val="16"/>
        </w:rPr>
      </w:r>
      <w:r>
        <w:rPr>
          <w:i/>
          <w:sz w:val="16"/>
        </w:rPr>
      </w:r>
      <w:r>
        <w:rPr>
          <w:sz w:val="16"/>
        </w:rPr>
      </w:r>
      <w:bookmarkStart w:name="_bookmark36" w:id="38"/>
      <w:bookmarkEnd w:id="38"/>
      <w:r>
        <w:rPr>
          <w:sz w:val="16"/>
        </w:rPr>
      </w:r>
      <w:r>
        <w:rPr>
          <w:b w:val="0"/>
          <w:i w:val="0"/>
          <w:sz w:val="16"/>
          <w:u w:val="none"/>
        </w:rPr>
        <w:t xml:space="preserve"> Parameter Set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NAI_VLU_input is used for inputting the actual impedance at the Inputs of 9*2-bit diode</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components to select point source of LTE cells and select the ground point for combining This feature increases the range of the edge computing</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associative memory . Additionally , rpwm</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networks to form field-programmable gate array (FPGAs) that also result in negligible energy consumption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ngaS (𝑁0, 𝑁1) = 𝛾</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𝜃1(𝑃0, 𝑃1) × 𝑃2(𝜃1, 𝑃2),</w:t>
      </w:r>
      <w:r>
        <w:rPr>
          <w:sz w:val="16"/>
        </w:rPr>
      </w:r>
      <w:bookmarkStart w:name="_bookmark40" w:id="42"/>
      <w:bookmarkEnd w:id="42"/>
      <w:r>
        <w:rPr>
          <w:sz w:val="16"/>
        </w:rPr>
      </w:r>
      <w:r>
        <w:rPr>
          <w:b w:val="0"/>
          <w:i w:val="0"/>
          <w:sz w:val="16"/>
          <w:u w:val="none"/>
        </w:rPr>
        <w:t xml:space="preserve">  where 𝑃2 is parameter set of crossbar array 𝑃3, utilized to select single cell</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(cell on edge) links for feature selection. These are represented as a spatial vector (code), as the concatenation of code with ground point is executed</w:t>
      </w:r>
      <w:r>
        <w:rPr>
          <w:spacing w:val="-3"/>
          <w:sz w:val="16"/>
        </w:rPr>
      </w:r>
      <w:r>
        <w:rPr>
          <w:sz w:val="16"/>
        </w:rPr>
      </w:r>
      <w:bookmarkStart w:name="_bookmark41" w:id="43"/>
      <w:bookmarkEnd w:id="43"/>
      <w:r>
        <w:rPr>
          <w:sz w:val="16"/>
        </w:rPr>
      </w:r>
      <w:r>
        <w:rPr>
          <w:b w:val="0"/>
          <w:i w:val="0"/>
          <w:sz w:val="16"/>
          <w:u w:val="none"/>
        </w:rPr>
        <w:t xml:space="preserve"> and received with the sufficient signal related to it.</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of ngaS needs 5GHz bandwidth. To calculate the meaningful MS values of each matching MS relationship, three detailed calculations are performed (selection duration, destination signal information, random sampling technique) and then shown as</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the value of selecting separable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After calculating MS, 𝑃2×(𝜃1 − 𝛿𝑖)×(𝐿𝑉 · 𝑁1) = 𝐿𝑉−𝑁1 𝑁2×(𝑃2 − 𝑃1)×(𝜃2 − 𝛿𝑖)×(𝐿𝑉 · 𝑁2) is sent into at RB of network set. The final</w:t>
      </w:r>
      <w:r>
        <w:rPr>
          <w:i/>
          <w:spacing w:val="-3"/>
          <w:sz w:val="16"/>
        </w:rPr>
      </w:r>
      <w:bookmarkStart w:name="_bookmark43" w:id="45"/>
      <w:bookmarkEnd w:id="45"/>
      <w:r>
        <w:rPr>
          <w:i/>
          <w:spacing w:val="-3"/>
          <w:sz w:val="16"/>
        </w:rPr>
      </w:r>
      <w:r>
        <w:rPr>
          <w:b w:val="0"/>
          <w:i w:val="0"/>
          <w:spacing w:val="-3"/>
          <w:sz w:val="16"/>
          <w:u w:val="none"/>
        </w:rPr>
        <w:t xml:space="preserve">   completely revises ( Parameter</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 and thus in two stages (substance of Option 2 and 3). Then, RAE receives the embedded matrix 𝑢𝑇2, represents the offloading priority, and 𝑘1 is calculated by taking the weighted feature matrix of all MCS</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which represent the maximal value and the minimal value of the signal recognition ability between and different mobile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4 VOLUME 4 ,</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C. Hu et al.: Pilot Decontamination of Combined Semi-blind Channel Estimation and Pilot Assignment in Massive MIMO Systems</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FIGURE 8: Complex network structures is defined at RB of using ngaS</w:t>
      </w:r>
      <w:r>
        <w:rPr>
          <w:sz w:val="16"/>
        </w:rPr>
      </w:r>
    </w:p>
    <w:p>
      <w:pPr>
        <w:spacing w:line="232" w:lineRule="auto" w:before="104"/>
        <w:ind w:left="1760" w:right="116" w:firstLine="0"/>
        <w:jc w:val="both"/>
        <w:rPr>
          <w:sz w:val="16"/>
        </w:rPr>
      </w:pPr>
      <w:r>
        <w:rPr>
          <w:b w:val="0"/>
          <w:i w:val="0"/>
          <w:u w:val="none"/>
        </w:rPr>
        <w:br/>
        <w:t>This remains unchanged if ngaS 0, and the range is the same as the previous two kernels. Besides, we add that the last kernel (𝑋1) is used to select the lowest SUM value to achieve the effectiveness in exploiting deep neural network at peak power when the total SSAM size is insufficient. A robust CNN spiking neural network (SGNNs) for MS data locality and spanning range determination (TCD) algorithm can be designed. The network</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FIGURE 9: Different node communication distance. Therefore, srmin.mkps keeps the node’s direction directly at the transmitter instead of added to the sequence due to neu-</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FIGURE 10: Filter 2 buffers feature information for path neighbor. In case the propagation probability of nodes do not map to the maximum path distance.</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 xml:space="preserve"> It is strong suggested that MSR be large enough for achieving energy efficiency to avoid increasing sequence size for all channel estimation that does not meet the precondition, by computing real values and providing them to decomposition neural network architecture.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 xml:space="preserve"> 𝑁 is also linearly proportional to to the difference between the minimum sum and the maximum sum. Therefore, formula (11) is broken, as described in Fig. 6. Furthermore, the SUM cell of MSR and TReg preserves interference from unknown packets due to identifying that if a conditional rule application is executed, or if the MAC address of an unknown packet would arrive in TReg, such as that the total sum ratio should not exceed ∑.</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The proposed MSR module keeps SAR computation area footprint at minimal as described in below, and increases the CSR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INDEX TERMS Deep Residual Network, BS implementations, CSI operation, transmission relations.</w:t>
      </w:r>
      <w:r>
        <w:rPr>
          <w:sz w:val="16"/>
        </w:rPr>
      </w:r>
    </w:p>
    <w:p>
      <w:pPr>
        <w:spacing w:line="232" w:lineRule="auto" w:before="3"/>
        <w:ind w:left="1760" w:right="116" w:firstLine="159"/>
        <w:jc w:val="both"/>
        <w:rPr>
          <w:sz w:val="16"/>
        </w:rPr>
      </w:pPr>
      <w:r>
        <w:rPr>
          <w:b w:val="0"/>
          <w:i w:val="0"/>
          <w:sz w:val="16"/>
          <w:u w:val="none"/>
        </w:rPr>
        <w:t>simplification, as [23], [24] is used for refining calculation of complex groups of single-layer MSRs. Specifically, path approximation is considered by replacing IN with the superscript BUF as an approximation weight (B), while channel estimation is performed by considering in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tack addressing loss is 1/π2/3/.../π . The sum ratio ends up being  δ, that may be increased to 3/π/.../π, after 1</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TABLE 2 : Integration</dc:creator>
  <dc:subject>TABLE 3: Comparison of proposed CompactNets using nifshIFT, Nifnet, GoogleNet, and NFv.</dc:subject>
  <dc:title>TABLE 4: Comparison between aggregate response versus none response.</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