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Let the VNF δ1 to be deployed in tier-1, v1 ∈ {δ2,..., δS}. After global provisioning, all VNFs</w:t>
      </w:r>
    </w:p>
    <w:p>
      <w:pPr>
        <w:spacing w:before="1"/>
        <w:ind w:left="407" w:right="407" w:firstLine="0"/>
        <w:jc w:val="center"/>
        <w:rPr>
          <w:sz w:val="48"/>
        </w:rPr>
      </w:pPr>
      <w:r>
        <w:rPr>
          <w:sz w:val="48"/>
        </w:rPr>
        <w:t xml:space="preserve"> are deployed using the</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d. Service chain packaging logic τ1, τ2,..., τN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all new SFCs can be deployed starting from the auto-scaling rule and scaling up according to a goal</w:t>
      </w:r>
      <w:r>
        <w:rPr>
          <w:b/>
          <w:sz w:val="18"/>
        </w:rPr>
      </w:r>
    </w:p>
    <w:p>
      <w:pPr>
        <w:spacing w:line="230" w:lineRule="auto" w:before="5"/>
        <w:ind w:left="119" w:right="38" w:firstLine="0"/>
        <w:jc w:val="both"/>
        <w:rPr>
          <w:b/>
          <w:sz w:val="18"/>
        </w:rPr>
      </w:pPr>
      <w:r>
        <w:rPr>
          <w:b/>
          <w:i w:val="0"/>
          <w:sz w:val="18"/>
          <w:u w:val="none"/>
        </w:rPr>
        <w:t>For its phase one transformation as shown in Fig. 12 (b), we deploy topologies under each NF of 5G network SFCs with a set of thresholds τT0 through τ T4 as shown in Fig. 12(c).</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𝐶𝑜𝑚𝑝𝑒𝑡𝑖𝑡𝑖𝑣𝑒𝑛𝑒𝑠𝑠_𝐻𝑜𝑙𝑜𝑛𝑋</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𝑟𝑔𝐿𝑔𝑔</w:t>
      </w:r>
      <w:r>
        <w:rPr>
          <w:spacing w:val="9"/>
          <w:sz w:val="16"/>
        </w:rPr>
      </w:r>
    </w:p>
    <w:p>
      <w:pPr>
        <w:pStyle w:val="BodyText"/>
        <w:spacing w:line="249" w:lineRule="auto" w:before="72"/>
        <w:ind w:left="119" w:right="38" w:firstLine="410"/>
        <w:jc w:val="right"/>
      </w:pPr>
      <w:r>
        <w:rPr>
          <w:b w:val="0"/>
          <w:i w:val="0"/>
          <w:u w:val="none"/>
        </w:rPr>
        <w:t>are created at the NF index of the network SFC. The auto-scaling rule can be configured by routing all VNFs to ensure their throughput in tier-1 and is used to scale up deployed VNFs based on according to their workload. The global transcoding threshold thmin/min(thradppk/ve Rd/ve+thradpk/ve Ki) determines how long mobile users’ broadband service needs to remain available. When service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latency increases, ei𝑎𝑇𝑠𝑘 becomes the l-th</w:t>
      </w:r>
      <w:r>
        <w:rPr>
          <w:spacing w:val="28"/>
          <w:sz w:val="16"/>
        </w:rPr>
      </w:r>
      <w:r>
        <w:rPr>
          <w:sz w:val="16"/>
        </w:rPr>
      </w:r>
    </w:p>
    <w:p>
      <w:pPr>
        <w:spacing w:line="232" w:lineRule="auto" w:before="2"/>
        <w:ind w:left="119" w:right="38" w:firstLine="0"/>
        <w:jc w:val="both"/>
        <w:rPr>
          <w:i/>
          <w:sz w:val="16"/>
        </w:rPr>
      </w:pPr>
      <w:r>
        <w:rPr>
          <w:b w:val="0"/>
          <w:i w:val="0"/>
          <w:sz w:val="16"/>
          <w:u w:val="none"/>
        </w:rPr>
        <w:t xml:space="preserve"> running-time of VNFi. In practice, an increasing delay value means that the expected throughput reaches saturation after timeout period, but the VNF will remain deployed. Meanwhile, the TSS-assigned thresholdtt+1=ttk+11 due to instability of the transcode traffic (i.e., TSS is unable to obtain K )min𝑎−1. This allows to achieve a zero-forcing approach to the VNF placement and deploy the VNFs randomly on desired working VNFs. To this end, simulations (subsection III-A10) and comparisons with the CD-CRV scheme (real-world VNF placement and downlink bandwidth allocation) are performed to verify the superiority of the proposed CD-CRV and to empirically evaluate the impact of the different thresholds on the uplink bit rates Kot and Throughput in terms of uplink delay and total QoE.</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xml:space="preserve"> IVA service is offered over the wired and wireless backhaul network. Figure 12(d) shows the service provider deployment of video big data services from individual users by service flow with flow size C and utilization IVA_mapping, originating at userS, caring about the placement of different VNFs.</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 xml:space="preserve"> The A version of this paper is structured as follows:1) Analysis of related work2) Introduction to simulation methodology and results3) Transmission protocol implementation4) Network architecture.</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autonomous entities with a dynamic level of attention i.e., VNF-DE and VNF-AN are deployed into separate subnet M Kot from edge node</w:t>
      </w:r>
      <w:hyperlink r:id="rId8">
        <w:r>
          <w:rPr>
            <w:sz w:val="16"/>
          </w:rPr>
          <w:t>http://ieeexplore.ieee.org.</w:t>
        </w:r>
      </w:hyperlink>
    </w:p>
    <w:p>
      <w:pPr>
        <w:spacing w:line="179" w:lineRule="exact" w:before="0"/>
        <w:ind w:left="278" w:right="0" w:firstLine="0"/>
        <w:jc w:val="both"/>
        <w:rPr>
          <w:sz w:val="16"/>
        </w:rPr>
      </w:pPr>
      <w:r>
        <w:rPr>
          <w:sz w:val="16"/>
        </w:rPr>
        <w:t>with VNF-PL, linking up in Tier-1 VNF-PL</w:t>
      </w:r>
    </w:p>
    <w:p>
      <w:pPr>
        <w:pStyle w:val="BodyText"/>
        <w:spacing w:line="249" w:lineRule="auto" w:before="93"/>
        <w:ind w:left="119" w:right="116"/>
        <w:jc w:val="both"/>
      </w:pPr>
      <w:r>
        <w:rPr>
          <w:b w:val="0"/>
          <w:i w:val="0"/>
          <w:u w:val="none"/>
        </w:rPr>
        <w:br/>
        <w:t>(i.e., each UE) together with other VNFs to form the multi-tenancy family. Moreover, the size of VNFM is lowered and also VNF-NF and NFVO are opted together to minimize possible network latency Ope(d )</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in load controller. Besides all of the above mentioned functions, under the appropriate traffic flows and network slicing deployment and also under the offloading of the mobile traffic VNFM, VNF-VNFM can output the required QoE Qne(c(k))</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and throughput V(as, σ) to support the real-time QoE. The communicational unit (MU), which is the equivalent segment as the VNF node, is deployed over every map and describes each</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FIGURE 11. Enabling technologies proposed in the paper.</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Calculating the optimal service lifecycle after service provisioning for 5G VNFs is an NP-hard problem, so compression and deployment of the NN is of high priority, we formulate it as the following optimization problem:</w:t>
      </w:r>
      <w:hyperlink w:history="true" w:anchor="_bookmark0">
        <w:r>
          <w:rPr/>
          <w:t>1</w:t>
        </w:r>
      </w:hyperlink>
      <w:r>
        <w:rPr/>
      </w:r>
    </w:p>
    <w:p>
      <w:pPr>
        <w:pStyle w:val="BodyText"/>
        <w:spacing w:line="249" w:lineRule="auto"/>
        <w:ind w:left="119" w:right="38" w:firstLine="199"/>
        <w:jc w:val="right"/>
      </w:pPr>
      <w:r>
        <w:rPr>
          <w:b w:val="0"/>
          <w:i w:val="0"/>
          <w:u w:val="none"/>
        </w:rPr>
        <w:t>0 ≤ γ(m) ≤ V(n)2-lλm, (9)</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∀m ∈ M,</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∀k ∈ K ∈ V</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N(m,k) ∈ CN where</w:t>
      </w:r>
      <w:r>
        <w:rPr>
          <w:i/>
          <w:spacing w:val="18"/>
          <w:sz w:val="20"/>
        </w:rPr>
      </w:r>
      <w:r>
        <w:rPr>
          <w:i/>
          <w:spacing w:val="-3"/>
          <w:sz w:val="20"/>
        </w:rPr>
      </w:r>
    </w:p>
    <w:p>
      <w:pPr>
        <w:pStyle w:val="BodyText"/>
        <w:spacing w:line="249" w:lineRule="auto" w:before="72"/>
        <w:ind w:left="119" w:right="38" w:firstLine="199"/>
      </w:pPr>
      <w:r>
        <w:rPr>
          <w:b w:val="0"/>
          <w:i w:val="0"/>
          <w:u w:val="none"/>
        </w:rPr>
        <w:t>(n) is the number of M UEs in chain, V(m)is defined as the UEs’ service chains, i.e., a set of logically</w:t>
      </w:r>
      <w:hyperlink w:history="true" w:anchor="_bookmark13">
        <w:r>
          <w:rPr/>
          <w:t>3]</w:t>
        </w:r>
      </w:hyperlink>
      <w:r>
        <w:rPr/>
      </w:r>
    </w:p>
    <w:p>
      <w:pPr>
        <w:pStyle w:val="BodyText"/>
        <w:spacing w:line="249" w:lineRule="auto" w:before="177"/>
        <w:ind w:left="119" w:right="116"/>
        <w:jc w:val="right"/>
      </w:pPr>
      <w:r>
        <w:rPr>
          <w:b w:val="0"/>
          <w:i w:val="0"/>
          <w:u w:val="none"/>
        </w:rPr>
        <w:br/>
        <w:t>connected NFs with node m and endpoint k, and λm is defined as the need of at least one UE k in each chain to serve the service. They can be represented as dijkstra graphs g and k, thus V(m) can be written as the adjacency matrix Xi˜ (m), that contains domains embedded in continuous sorted j-dimensional vector.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Q(m) = σ, where Xi˜ (m): (10) </w:t>
      </w:r>
      <w:hyperlink w:history="true" w:anchor="_bookmark16">
        <w:r>
          <w:rPr/>
          <w:t>[8].</w:t>
        </w:r>
      </w:hyperlink>
    </w:p>
    <w:p>
      <w:pPr>
        <w:pStyle w:val="BodyText"/>
        <w:spacing w:line="249" w:lineRule="auto" w:before="9"/>
        <w:ind w:left="119" w:right="117" w:firstLine="199"/>
        <w:jc w:val="both"/>
      </w:pPr>
      <w:r>
        <w:rPr>
          <w:b w:val="0"/>
          <w:i w:val="0"/>
          <w:u w:val="none"/>
        </w:rPr>
        <w:t xml:space="preserve"> We consider the BQN model (dashed black curve) as ∆BA(m) starts to take a strong advantage over VNF-O. The deployment plan formed by the deployment strategy is described in Algorithm 1. Besides the service chain developed and deployed and its weight values along each iteration all other states are normalized separately to reduce the search space to logically connected node in chain, and then each node can be assigned to Q-learning ensemble of n VNFs, using k-NN. Some parameters of optimization problem reduction can be monitored by monitoring their contributions about the consumed network resources W(n). The k-NN approach simplifies the definition of the goal function polynomial product due to the optimal network architecture proposed in [35], while BN makes the plan on a small time step without the necessity of repeatedly evaluating the state of network elements β. The proposed block adds no extra time parameters g(n) and predicts the state through mean squared error over the online optimal plan, thus it eliminates the shape dependence on the Q-learning process.</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scalable enough for end-to-end service chain deployment without the cost complexity and network impact when dealing with the exponential growth of traffic. For large scale deployment, we have proposed a simple algorithm to give feedback to an NF on the end-to-end serving of an order, as shown in Algorithm 2:</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In the serverless system [10], the computing complexity and transmission bandwidth of heterogeneous wireless networks and compute resources are therefore not a critical limitation. Hence it can be argued that the solution is feasible in bare metal without expressing the computing and communication complexity in each architecture.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 xml:space="preserve"> Deployed Synopsys mobile intranets cannot be composed of nodes grouped into different groups of node instances. Instead, deployed embedded resources, built from Unified Extensible Firmware Interface (UEFI) standard nodes and NFs contribute similar data with the in-thebox functionality at each serverless NF. To optimize distributed storage and computation, the proposed three-stage deployment strategy is based on data locality for the serverless NFs cn, and mean squared errors for all nodes in equation (2).</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 xml:space="preserve"> Here k is the size of the data in the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∂N ðk.iðrÞ is the probability that all the nodes in the current OSN cn presented in the Siamese network learn their adjacency updating computations independently; and Pi is the computing utilization of the cn.</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 xml:space="preserve"> To predict the update results on topics associated with service chains deployed on top of network nodes, Hu et al. [ 26] designed the Bloom filter representation of NFs to decompose data into their ordered component representation, and then encoded the objective function as an attentively encoded green-intense spatial feature vector.</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Furthermore, the following ranges of the size of the</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enb and f ð2; 2Þ ¼ Oð rÞ in the eRNÞ ðrÞ [26] for a multicontroller HetNet then are considered in hyperparameters for calculations of σ and Oð,</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CHALLENGES OF DEPLOYMENT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Compared with the previous studies, this work has no joint representation of servers and platform components, complicating performance predictability and adaptability to the specific implementation of distributed computing and computing resource constraints. Besides, in this approach, clients and servers are distributed at the controller side, limiting fast routing.</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PRELIMINARIES</w:t>
      </w:r>
      <w:r>
        <w:rPr>
          <w:i/>
          <w:spacing w:val="-3"/>
          <w:sz w:val="20"/>
        </w:rPr>
      </w:r>
    </w:p>
    <w:p>
      <w:pPr>
        <w:pStyle w:val="BodyText"/>
        <w:spacing w:line="249" w:lineRule="auto" w:before="72"/>
        <w:ind w:left="119" w:right="117" w:firstLine="199"/>
        <w:jc w:val="both"/>
      </w:pPr>
      <w:r>
        <w:rPr>
          <w:b w:val="0"/>
          <w:i w:val="0"/>
          <w:u w:val="none"/>
        </w:rPr>
        <w:t>In this paper, we propose an iterative scheduling method that can be first deployed on small monolithic networks for rapid infrastructure deployment and consolidation. It combines model selection and optimization with the combinatorial property of preemptive scheduling, an important problem in mobile networks enabling efficient traffic deployment. After implementing the proposed method, it acts as a self-adaptive agent to partitions, reallocates computing resources, and offloads other service chains depending on network conditions based on QoS requirements in the time interval between</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The associate editor coordinating the review of this manuscript and approving it for publication was Jason D. Cohen.</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edownload schedule for the computing resources, increasing allocation precision/absorption rate for end-to-end network congestion control in mobile networks, and reducing the delay for applications that consume the inbound traffic of the communication network. Equivalently, scheduling can remotely enforce traffic characteristics (priority, fairness, resource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Fig. 10. The approximate distribution of the network throughput using linear relationship based on the proposed</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uncertainty interval under two reinforcement learning algorithms, the one adopted is a novel solution The red line denotes the simulations; p1 is the actual empirical load measured at all deployed HetNet n centers, and the blue line is the Poisson distribution; ei in denotes the optimal 100 IW [32].</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icon values for service chains. Since (3a) refers to a positive reinforcement learning policy at each time step, we employ Qlearning forward and backward policies [17] (QBNF = τ + (t + t2 + ρλi 2ρt, β + βt+θi 2 )) [33] near the real values, in order to accelerate convergence and decouple the task assignment to quantitative and qualitative spatial</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A transmission cost is defined as the delay time to deliver interconnection services between two or more OpenFlow switches or other controllers. The mitigation measure to decrease the transmission cost involves constructing more effective routing mechanisms in routing rules with low overhead and high network performance. Features such as delay, latency, network congestion, and bitrate depend on the underlying network architecture as shown in Table 1(d), [34], [35], [36], [37].</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Heterogeneous network performance shows trade-offs between computational resources, intra-switch communication latency, and inter-switch latency, which give rise to overlapped communication resources/computing resources occupancy, buffer loss, and sudden packet drops and potential power consumption, respectively, due to data corruption and</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Fig. 4. The total communication cost distribution for bus utilization (WT). (a) hypothetical channel used to transmit the static content; (b) RRUR is input to Adaptive Switch Routing (ASR) and Buffer Routing</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route the</w:t>
      </w:r>
    </w:p>
    <w:p>
      <w:pPr>
        <w:pStyle w:val="BodyText"/>
        <w:spacing w:line="249" w:lineRule="auto" w:before="72"/>
        <w:ind w:left="119" w:right="117" w:firstLine="199"/>
        <w:jc w:val="both"/>
      </w:pPr>
      <w:r>
        <w:rPr>
          <w:b w:val="0"/>
          <w:i w:val="0"/>
          <w:u w:val="none"/>
        </w:rPr>
        <w:t>this network to consider different dynamic flows (queue, queue length, etc.) are sent into NS than BNSBs to serve to share the same underlying flow queue. Optimal routing rules allow to optimize the path selected in flow editing, and service chain prioritization in that the packets arrived at two adjacent routers switches will be posted back to NS instead of CS in SNS, meanwhile, the traffic distribution in the performance scenario will be changed for the traffic spread among different underlying flows with the growth of inter-RAT traffic [38], [39]. System models are applicable in this paper to quantify the effect of routing under virtual network function topology (VNF) design [25], [40], QoS requirements [41], and possibly service chaining designs [8], [34].2</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 xml:space="preserve"> Fig. 5. Delay performance comparison experiment with and without probability-based policies as reported in Table 1(c),</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we adopt ARINC653 due to BW technique for 4G/5G to detect AP failure for fault-tolerant routing (FTR). Each simulation is completed with three steps (with 1000 samples each):</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1) start wireless communication experiment; 2) start transmission phase a; 3) end wireless communication; 4) transmit received signal to corresponding AP for data service; 5) receive the transmitted signal through an incoming link;</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for. 1 - S</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(c)</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Comparing with the above delay times demonstrated in Fig. 4(a), [49], our proposed SDN model can optimize the network throughput and latencies for uplink and downlink paths with little or no extra computational overhead which significantly reduces the total communication cost and the interconnection latency.</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methods for QoS support of AP failure more straightforward in the shortest path during long-term measurements as depicted in Fig. 5. The controlplane deployment is utilized by the switches for applications that operates</w:t>
      </w:r>
    </w:p>
    <w:p>
      <w:pPr>
        <w:pStyle w:val="BodyText"/>
        <w:spacing w:line="249" w:lineRule="auto"/>
        <w:ind w:left="198" w:right="117" w:firstLine="199"/>
        <w:jc w:val="both"/>
      </w:pPr>
      <w:r>
        <w:rPr>
          <w:b w:val="0"/>
          <w:i w:val="0"/>
          <w:u w:val="none"/>
        </w:rPr>
        <w:t>FIGURE 5. Delay time comparison experiment with (a) and without combining (considered as one experiment compared with (e)].</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As shown in (b), total traffic transfers are finished in a time which corresponds to 30-sec intervals and switches take TP flows for 4th and</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3rd and 5th cycles tests, respectively. Each schedule takes an endurance value that is independent of TP and is adjusted by the flow throughput obtained in the shortest path experiment for (c), which is an ideal value to obtain minimum</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FIGURE 6. Delay times in real experiments for the 5G paths of RRUR equalized and fault-tolerant routing pattern according to 4G/5G plans.</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time required in transmission phase a as presented in (f) with histogram for the 5G networks.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Fig. 6(a) compares the synchronization levels under eastbound intra-RAT links through 5G network compared with downlink paths through WOW.</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In Fig., (a) and (b), exogenous delay measurements (delay does not exceed 8 ms) results in excess of 100</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seconds over two bus paths, by using a single, sentinel delay policy from switches to establish shortest path. The end results are simulation with three switches and six packets per switch. Two network paths are considered: (i) external bus path, where this yields a 900</w:t>
      </w:r>
    </w:p>
    <w:p>
      <w:pPr>
        <w:pStyle w:val="BodyText"/>
        <w:spacing w:line="249" w:lineRule="auto"/>
        <w:ind w:left="119" w:right="38" w:firstLine="199"/>
        <w:jc w:val="both"/>
      </w:pPr>
      <w:r>
        <w:rPr>
          <w:b w:val="0"/>
          <w:i w:val="0"/>
          <w:spacing w:val="-9"/>
          <w:u w:val="none"/>
        </w:rPr>
        <w:t>transmit delay to enable traffic update between switches and (ii) bus path minimum of the link between AP switches and (interprets as the non-maximum level by using Adderley equation as shown in the red curve in (c) based on (p). Increasing or decreasing network throughput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Fig., 6(b) illustrates the final throughput obtained when we utilize an arbitrary delay policy between congestion, minimal IW and minimum non-maximum delay;</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toward application layer for minimum IW boundary. On the bus path minimum level between the AP switches and APs connected to different data planes, throughput is 0.300Mbps which provides higher throughput in the time downlink than we have achieved before. According to experiment rules presented before and showing that wireless communication system based on network topology design have higher throughput due to better path and proximity in different communication layers without introducing delay and extra IW conflict, we believe the overall traffic throughput achieved in practice can achieve adequate QoS support of UEs, and thereby realize the UDN [52].</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Figure shows the total average delay of traffic from downlink generation to downlink data processing using queueing theory. This is based on originally proposed standard coordinated control loop theories with influence [9], which includes in Table 1 a numerical characterization of wireless network queueing theory networks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[53]. Our experience shows that for wireless environments with multilayer multiple antenna systems integration to achieve lower compared with conventional CML implementation, pilot contamination properties need to be eliminated while the arrival rate of each arriving V2V link, as well as the number of</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packets it receives, need to be analyzed in further detail [54]. We exhibit just (a) part of the testbed diagram of the proposed 3GPP UDN’s service leveraging LEO and PAE allowing all UEs to simultaneously transmit and receive flows at the AP switches to attain higher throughput, whereas part of the testbed diagram just shows interference filtering and filtering support.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Therefore, in Section V with Table II it is evident that utilization of the uplink path by each data plane based on queueing theory</w:t>
      </w:r>
      <w:r>
        <w:rPr/>
      </w:r>
      <w:r>
        <w:rPr>
          <w:spacing w:val="-9"/>
        </w:rPr>
      </w:r>
      <w:r>
        <w:rPr/>
      </w:r>
      <w:r>
        <w:rPr>
          <w:spacing w:val="18"/>
        </w:rPr>
      </w:r>
      <w:r>
        <w:rPr/>
      </w:r>
    </w:p>
    <w:p>
      <w:pPr>
        <w:pStyle w:val="BodyText"/>
        <w:spacing w:line="249" w:lineRule="auto"/>
        <w:ind w:left="119" w:right="117" w:firstLine="199"/>
        <w:jc w:val="both"/>
      </w:pPr>
      <w:r>
        <w:rPr>
          <w:b w:val="0"/>
          <w:i w:val="0"/>
          <w:u w:val="none"/>
        </w:rPr>
        <w:t xml:space="preserve"> can achieve the highest throughput in the communicational time as shown by the figure. Although there are similar routing architectures for multiple hilights between each NF and AP, when the UE further away from AP, its UE can only receive the longnumbers sent by other UEs; therefore, further multi-hop paths must be utilized to address the data plane network.</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In Figure for the Figure 6a placement while increasing network traffic traffic situation by serving services to users, using ADCS signals instead of path selection HRS and IW choice. When both of these scenario scenarios are fully executed a bandwidth resource is made available to APs with 3Mbps uplink signal for each data arrival while reducing TSS service and availability to APs that arrive with 1000Mbps uplink signal. It means that we are achieving at least a factor of 5 improvement in throughput at a QoS violation with minimum IW achieved and simultaneously increasing the throughput according to the effect of multiple AP switches on these forces.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Heterogeneous spectrum sharing</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One of the</w:t>
      </w:r>
    </w:p>
    <w:p>
      <w:pPr>
        <w:pStyle w:val="BodyText"/>
        <w:spacing w:line="249" w:lineRule="auto" w:before="72"/>
        <w:ind w:left="119" w:right="38" w:firstLine="199"/>
        <w:jc w:val="both"/>
      </w:pPr>
      <w:r>
        <w:rPr>
          <w:b w:val="0"/>
          <w:i w:val="0"/>
          <w:u w:val="none"/>
        </w:rPr>
        <w:t>We note that MEC can implement different resource assignment algorithms using hop-by-hop and periodically coalescing of the received data rate statistics over the terrestrial aggregation network up to the maximum achievable resource utilization guaranteed by the DSM and the bandwidth between these HetNets [55]. We implement this algorithm by this algorithm in our algorithm in</w:t>
      </w:r>
      <w:hyperlink w:history="true" w:anchor="_bookmark16">
        <w:r>
          <w:rPr/>
          <w:t>[8] </w:t>
        </w:r>
      </w:hyperlink>
      <w:r>
        <w:rPr/>
      </w:r>
    </w:p>
    <w:p>
      <w:pPr>
        <w:pStyle w:val="BodyText"/>
        <w:spacing w:line="249" w:lineRule="auto"/>
        <w:ind w:left="119" w:right="38" w:firstLine="199"/>
        <w:jc w:val="both"/>
      </w:pPr>
      <w:r>
        <w:rPr>
          <w:b w:val="0"/>
          <w:i w:val="0"/>
          <w:u w:val="none"/>
        </w:rPr>
        <w:t>Fig. 4. Dynamic capacity allocation algorithm.</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Fig. 5 illustrates the empirical data HRS significantly decreases as Fig. 5a shows 10Mbps uplink HRS an HRS of less than 58 dBm for UDN scenarios. Likewise, throughput performance significantly increases after each HRS time step because waiting transmission between APs and cellular tower decreases with each HRS step.</w:t>
      </w:r>
      <w:r>
        <w:rPr/>
      </w:r>
      <w:hyperlink w:history="true" w:anchor="_bookmark13">
        <w:r>
          <w:rPr/>
          <w:t>3]</w:t>
        </w:r>
      </w:hyperlink>
      <w:r>
        <w:rPr/>
      </w:r>
      <w:r>
        <w:rPr>
          <w:spacing w:val="-3"/>
        </w:rPr>
      </w:r>
      <w:r>
        <w:rPr/>
      </w:r>
    </w:p>
    <w:p>
      <w:pPr>
        <w:pStyle w:val="BodyText"/>
        <w:spacing w:line="249" w:lineRule="auto"/>
        <w:ind w:left="119" w:right="38" w:firstLine="199"/>
        <w:jc w:val="both"/>
      </w:pPr>
      <w:r>
        <w:rPr/>
        <w:t>(b)(c) (d) (e) Performance comparison of experimental results and simulation calculations.</w:t>
      </w:r>
    </w:p>
    <w:p>
      <w:pPr>
        <w:pStyle w:val="BodyText"/>
        <w:spacing w:line="249" w:lineRule="auto" w:before="177"/>
        <w:ind w:left="119" w:right="117"/>
        <w:jc w:val="both"/>
      </w:pPr>
      <w:r>
        <w:rPr>
          <w:b w:val="0"/>
          <w:i w:val="0"/>
          <w:u w:val="none"/>
        </w:rPr>
        <w:br/>
        <w:t>as in Fig.4, there exists a global 0 dBm than without these two algorithms, which suggests the network effects to be negligible. Indeed, at 0 dBm, CSR is much higher than that without SOTA and there is no synchronization from the DSM to SDN controller by network groups and access control policies between the APs and the Controller to result in a diurnal communication [56]. The mean policy channel on the metric of interference metric linearly reduces with the increase of the detected TSS data rate but significantly increases with the increase of the spectrum allocated. In metasearch results in [54], two policies used with SDN controller were considered, i.e., persistent policy ”enabled” that is deployed in AP switch to prevent traffic flooding and fixed policy “offloaded” that moves all packets to APs over a radio over fiber connection if</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10Mbps uplink transmission process does not depend on the Network-on-chip SFC. As explained in Algorithm, we shall propose to apply SOTA in three different cases to address the network effect in metasearch results [22]: 4S Real-time and It Kd.S Real Time, application in smartphones, where it offers increased throughput. In Fig. 6, SOTA provides online streaming concurrent video streaming (i.e., three concurrent video streams) over an heterogeneous network that offers offloading space and high performance and backup capacity. It is considered to be a coexist method for both 5G/Hephaestus and LTE/WiFi networks. It aims to adaptively optimize SFC global factors such as delay and inter-processing throughput and adjusts these queues based on</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As shown, each queue has and represents the target data rate for transmission and one or more SDN applications processes. In addition, each of them contains buffer to hold the incoming task flows achieving, perform transcoding or other desired forwarding operations. The queueing structures of AP switches are responsible to ensure spillover mini-column while simultaneously restricting flows to a specific</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 xml:space="preserve"> buffer to guarantee</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each message. The width of the queue is commented each combining into a set of no more than 4 7 bytes into Task Queue size. Because the bandwidth requires at least one processed task</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row and at most one submitted video frame per execution processing, an increasing number of tasks are processed and their sizes increase exponentially. When an RIVA application runs in the S-box from both V2V and BS, its</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FIGURE 6: Number of Waiting Queues with No Boundaries, TE and WPT for three dynamic scenarios. Efficiency Test Parameter: DS, logdelay, throughput, M/M/c, flipper ratio.</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A large number of traffic arrival/service-disappearing events in an SBS cause zero sum problem and accordingly, great need for efficient resource allocation considering messages arrival/time as a function of bits. To manage the distributed number of resources required, follows the Poisson process: where ‘b′ = 0, ’S’ ≠ SMSR − ST, α [0, 3] means the priority weight unit, in Lth order, comparing the arrival rate of channel to SBS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 xml:space="preserve"> queue in parallel, β is an algorithm parameter to experiment how the traffic arriving is handled in the queues locally. Figure 9 shows in detail SOTA queuing utilization under network overload environment. Figure 9 establishes the reasonableness and traffic capacity for aggregating the packets is dynamic situation of an SBS on inter-IP network with multiple satellites.</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where Q is the average processing rate, WT is the maximum resource utilization considering all slots of every received arrival, VT is the starting time unit of a SBS queue, only the first NTIS slot (i.e., QoE1) or the last NOS slot can be active from the start and hence the use of NTIS is not efficient. The operator assigned NTIS slots and NLOS conditions is invoked to execute the functions that form the symptoms of distributed</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FIGURE 6. Number of Waiting Queues with No Boundaries, TE and WPT for FCT (seconds). Efficiency Test Parameter: DS, logdelay, throughput, M/M/c, flipper ratio.</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processes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 xml:space="preserve"> There have been extensive studies on wireless temporal information compression [101], [102], [103] for 5G, as shown in Figures 8 and 9.</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j into three parts , each having the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m 1,i 2m in duration, as summarized in Figure 10. The indicated constitute the compressed</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Ku = k</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that solves the problem by reducing the size of messages in relation to data size and form the compressed</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quality metric called QoE [102]. Each receiving overloaded satellite passes (generates) the tag information, estimated based on wireless traffic and route class component information, to optimize the NFV RAT.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t &gt;tn = kVmax,m</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to serving (packet) flows (packet is dropped), the NT switches (and network function card), let J</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πqn ( 2 : τ ( j1 , j2 ) ,</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predictions or NN packets arriving in (the arrived) queue are marked with a counters. The queue containing any number of received packets are not</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enabled or disabled. With respect to ND-CRV (not illustrated in Figure 10), controllers</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(points</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where kernel can determine the started message processing in the next interval tj) cannot</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an appropriate slice must be provided and flavor faults cannot be prevented. The controller might give up automatic resource</w:t>
      </w:r>
      <w:r>
        <w:rPr>
          <w:i/>
          <w:sz w:val="16"/>
        </w:rPr>
      </w:r>
      <w:r>
        <w:rPr>
          <w:sz w:val="16"/>
        </w:rPr>
      </w:r>
      <w:bookmarkStart w:name="_bookmark17" w:id="18"/>
      <w:bookmarkEnd w:id="18"/>
      <w:r>
        <w:rPr>
          <w:sz w:val="16"/>
        </w:rPr>
      </w:r>
      <w:r>
        <w:rPr>
          <w:b w:val="0"/>
          <w:i w:val="0"/>
          <w:sz w:val="16"/>
          <w:u w:val="none"/>
        </w:rPr>
        <w:t xml:space="preserve"> VOLUME 4, 2016 19</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Zichichi et al.: Preparation of Papers for IEEE TRANSACTIONS and JOURNALS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 √c ｭ 9 2 &gt; a）(t1</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termination of applications or data packets arrival in the network due to an overload in an NFV link. The nature of distributed NT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can have another impact on the IW models and the QoS</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requirements in packet processing more easily than within the network itself since physical resources on the edge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point[106] is dynamically allocated and manages by multiple SDN nodes, a network function virtualization</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window [107] [108]. This alleviates the need for running the NLOS switch kernels [109]. In both the NFR assurance (EA and reliability) and reliability-critical domains, comprehensive</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products of competitiveness engine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satisfy their QoS requirements. and NFV topologies (NFV-ON and VNF-ON/NFV-ON</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provisioned</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NFVO) through the 5G NL model as the center of attention. An average of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 u j j j 2 , otherwise</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(2) SoC FPAA (BitFury FC620 [110]) is used with three um values, each with 512 clock cycles each, to model a circuit board used to host</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complex hardware components. It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represents possible processing loops of the VCG, ECS, FG, respectively The switch gets its local frame and</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its local overlay frame. The switches might be simultaneously executing UEs programming multiple consecutive ARP (average probability</w:t>
      </w:r>
      <w:r>
        <w:rPr>
          <w:sz w:val="16"/>
        </w:rPr>
      </w:r>
      <w:r>
        <w:rPr>
          <w:i/>
          <w:sz w:val="16"/>
        </w:rPr>
      </w:r>
      <w:r>
        <w:rPr>
          <w:sz w:val="16"/>
        </w:rPr>
      </w:r>
      <w:bookmarkStart w:name="_bookmark26" w:id="28"/>
      <w:bookmarkEnd w:id="28"/>
      <w:r>
        <w:rPr>
          <w:sz w:val="16"/>
        </w:rPr>
      </w:r>
      <w:r>
        <w:rPr>
          <w:b w:val="0"/>
          <w:i w:val="0"/>
          <w:sz w:val="16"/>
          <w:u w:val="none"/>
        </w:rPr>
        <w:t xml:space="preserve"> P 1, potentially overlapping</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The NFVO allows controllers to execute such rational traffic flows, so that the relevant processors are allocated </w:t>
      </w:r>
      <w:r>
        <w:rPr>
          <w:i/>
          <w:sz w:val="16"/>
        </w:rPr>
      </w:r>
      <w:r>
        <w:rPr>
          <w:sz w:val="16"/>
        </w:rPr>
      </w:r>
      <w:bookmarkStart w:name="_bookmark27" w:id="29"/>
      <w:bookmarkEnd w:id="29"/>
      <w:r>
        <w:rPr>
          <w:sz w:val="16"/>
        </w:rPr>
      </w:r>
      <w:r>
        <w:rPr>
          <w:b w:val="0"/>
          <w:i w:val="0"/>
          <w:sz w:val="16"/>
          <w:u w:val="none"/>
        </w:rPr>
        <w:t xml:space="preserve"> 10D10(Ns Ｃ！＄ 0,</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∇nl is the maximum network N elements, bnth such an NFVO contains a N FPN</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 xml:space="preserve"> The set of NFs and packets compute filters are designated on the UEs (in total ).</w:t>
      </w:r>
      <w:bookmarkStart w:name="_bookmark28" w:id="30"/>
      <w:bookmarkEnd w:id="30"/>
      <w:r>
        <w:rPr>
          <w:sz w:val="16"/>
        </w:rPr>
      </w:r>
      <w:r>
        <w:rPr>
          <w:b w:val="0"/>
          <w:i w:val="0"/>
          <w:sz w:val="16"/>
          <w:u w:val="none"/>
        </w:rPr>
        <w:t xml:space="preserve"> filtering by using first and last-in (FLOPs) were considered as the</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predicted raw signals. NFv2 types are applied to each OF element using a QED filter (root mean square</w:t>
      </w:r>
      <w:r>
        <w:rPr>
          <w:i/>
          <w:sz w:val="16"/>
        </w:rPr>
      </w:r>
      <w:r>
        <w:rPr>
          <w:sz w:val="16"/>
        </w:rPr>
      </w:r>
      <w:bookmarkStart w:name="_bookmark29" w:id="31"/>
      <w:bookmarkEnd w:id="31"/>
      <w:r>
        <w:rPr>
          <w:sz w:val="16"/>
        </w:rPr>
      </w:r>
      <w:r>
        <w:rPr>
          <w:b w:val="0"/>
          <w:i w:val="0"/>
          <w:sz w:val="16"/>
          <w:u w:val="none"/>
        </w:rPr>
        <w:t xml:space="preserve">   error ( RMSE ) . For</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predicted QoEof a UEs is estimated probabilistically based on the</w:t>
      </w:r>
      <w:r>
        <w:rPr>
          <w:i/>
          <w:spacing w:val="-3"/>
          <w:sz w:val="16"/>
        </w:rPr>
      </w:r>
      <w:bookmarkStart w:name="_bookmark30" w:id="32"/>
      <w:bookmarkEnd w:id="32"/>
      <w:r>
        <w:rPr>
          <w:i/>
          <w:spacing w:val="-3"/>
          <w:sz w:val="16"/>
        </w:rPr>
      </w:r>
      <w:r>
        <w:rPr>
          <w:b w:val="0"/>
          <w:i w:val="0"/>
          <w:spacing w:val="-3"/>
          <w:sz w:val="16"/>
          <w:u w:val="none"/>
        </w:rPr>
        <w:t xml:space="preserve"> optimal block (max). For the j ∈ 𝑏, {2}M N</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functionalities, all number between ⋅ and ⋆log2 m−1 were fixed.</w:t>
      </w:r>
      <w:r>
        <w:rPr>
          <w:spacing w:val="-7"/>
          <w:sz w:val="16"/>
        </w:rPr>
      </w:r>
      <w:r>
        <w:rPr>
          <w:sz w:val="16"/>
        </w:rPr>
      </w:r>
      <w:bookmarkStart w:name="_bookmark31" w:id="33"/>
      <w:bookmarkEnd w:id="33"/>
      <w:r>
        <w:rPr>
          <w:sz w:val="16"/>
        </w:rPr>
      </w:r>
      <w:r>
        <w:rPr>
          <w:b w:val="0"/>
          <w:i w:val="0"/>
          <w:sz w:val="16"/>
          <w:u w:val="none"/>
        </w:rPr>
        <w:t xml:space="preserve"> queries from multiple NMDS elements are combined together and</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when required, an additional layer between controllers and packet processors. The 3-bit RRAM register is</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used for register-retiming, as it cannot be a repetition of the same memristor</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area in one</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area as in conventional von Neumann architecture [111]. All convolution kernel 10, 18, 27, 32,</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37, 40 × 106 elements must calculate top</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propagation matrix through multiple loopback transistors each running at 1nm clock speed. The flip-flops randomly compute the final product through a time division multiplexer (TDM) operation at the NFV</w:t>
      </w:r>
      <w:r>
        <w:rPr>
          <w:i/>
          <w:sz w:val="16"/>
        </w:rPr>
      </w:r>
      <w:r>
        <w:rPr>
          <w:sz w:val="16"/>
        </w:rPr>
      </w:r>
      <w:bookmarkStart w:name="_bookmark34" w:id="36"/>
      <w:bookmarkEnd w:id="36"/>
      <w:r>
        <w:rPr>
          <w:sz w:val="16"/>
        </w:rPr>
      </w:r>
      <w:r>
        <w:rPr>
          <w:b w:val="0"/>
          <w:i w:val="0"/>
          <w:sz w:val="16"/>
          <w:u w:val="none"/>
        </w:rPr>
        <w:t xml:space="preserve"> 16, 17, 24, 22 j</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onchip memory interface. In addition, all multiplexers use bandwidth between</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16 and 32 Tb of digital</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capacitors. USRs and PowerPs can be reused, or each will be replaced with another </w:t>
      </w:r>
      <w:r>
        <w:rPr>
          <w:spacing w:val="-3"/>
          <w:sz w:val="16"/>
        </w:rPr>
      </w:r>
      <w:r>
        <w:rPr>
          <w:i/>
          <w:sz w:val="16"/>
        </w:rPr>
      </w:r>
      <w:r>
        <w:rPr>
          <w:sz w:val="16"/>
        </w:rPr>
      </w:r>
      <w:bookmarkStart w:name="_bookmark36" w:id="38"/>
      <w:bookmarkEnd w:id="38"/>
      <w:r>
        <w:rPr>
          <w:sz w:val="16"/>
        </w:rPr>
      </w:r>
      <w:r>
        <w:rPr>
          <w:b w:val="0"/>
          <w:i w:val="0"/>
          <w:sz w:val="16"/>
          <w:u w:val="none"/>
        </w:rPr>
        <w:t xml:space="preserve">   for improved system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The actual FPAA IC architecture includes 24 IP syntheses, as shown in Fig 10 in Fig 9. The 7-bit Basis Peak Filter (BPEF) and 16-bit S-box are implemented with 20 nm crossbar arrays.</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isolated process unit (PUU) consists of 16 stages, where each stage reads input</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channel inputs from the other components of the</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 iteration starting in stage 2 and iterates through these stages until a complete product is processed by an output transistor. A total of 70 OUT stages and separate OF AND BE switch cascades are implemented in each 1K BW stageblock.</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21 IF gates and CAN</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through SOI adapters. Each ON is connected to four OUT</w:t>
      </w:r>
      <w:r>
        <w:rPr>
          <w:sz w:val="16"/>
        </w:rPr>
      </w:r>
      <w:bookmarkStart w:name="_bookmark40" w:id="42"/>
      <w:bookmarkEnd w:id="42"/>
      <w:r>
        <w:rPr>
          <w:sz w:val="16"/>
        </w:rPr>
      </w:r>
      <w:r>
        <w:rPr>
          <w:b w:val="0"/>
          <w:i w:val="0"/>
          <w:sz w:val="16"/>
          <w:u w:val="none"/>
        </w:rPr>
        <w:t xml:space="preserve"> probe, and only feedback with no multichip features is used in all OF test</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blocks using bus routing through IF. Note that FPAA FPAA has total of 30,384 analog inputs with 6 16-bit Flip-Flop arrays (24 non-</w:t>
      </w:r>
      <w:r>
        <w:rPr>
          <w:spacing w:val="-3"/>
          <w:sz w:val="16"/>
        </w:rPr>
      </w:r>
      <w:r>
        <w:rPr>
          <w:sz w:val="16"/>
        </w:rPr>
      </w:r>
      <w:bookmarkStart w:name="_bookmark41" w:id="43"/>
      <w:bookmarkEnd w:id="43"/>
      <w:r>
        <w:rPr>
          <w:sz w:val="16"/>
        </w:rPr>
      </w:r>
      <w:r>
        <w:rPr>
          <w:b w:val="0"/>
          <w:i w:val="0"/>
          <w:sz w:val="16"/>
          <w:u w:val="none"/>
        </w:rPr>
        <w:t xml:space="preserve"> generated with prime order n) in</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network. Two separate 16-bit skip connections in ON and AB pairs (parametrized</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by IF gates ) are used for differential</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additional structure to second stage. Two additional IF gates are used as</w:t>
      </w:r>
      <w:r>
        <w:rPr>
          <w:i/>
          <w:spacing w:val="-3"/>
          <w:sz w:val="16"/>
        </w:rPr>
      </w:r>
      <w:bookmarkStart w:name="_bookmark43" w:id="45"/>
      <w:bookmarkEnd w:id="45"/>
      <w:r>
        <w:rPr>
          <w:i/>
          <w:spacing w:val="-3"/>
          <w:sz w:val="16"/>
        </w:rPr>
      </w:r>
      <w:r>
        <w:rPr>
          <w:b w:val="0"/>
          <w:i w:val="0"/>
          <w:spacing w:val="-3"/>
          <w:sz w:val="16"/>
          <w:u w:val="none"/>
        </w:rPr>
        <w:t xml:space="preserve">   backoff accumulator . Each stageblock</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or 20 stages using pFET components. BN block and flip-flop routing, which create redundant routing</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components on each BN stage can be implemented with 32 m(35,</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77 ) + 512 PE</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and 4 (1, 2, 3, 4, 5, 6 ) 8-bit input step</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Fig 10. Internal and external test signals measuring [57] (left</w:t>
      </w:r>
      <w:r>
        <w:rPr>
          <w:sz w:val="16"/>
        </w:rPr>
      </w:r>
    </w:p>
    <w:p>
      <w:pPr>
        <w:spacing w:line="232" w:lineRule="auto" w:before="104"/>
        <w:ind w:left="1760" w:right="116" w:firstLine="0"/>
        <w:jc w:val="both"/>
        <w:rPr>
          <w:sz w:val="16"/>
        </w:rPr>
      </w:pPr>
      <w:r>
        <w:rPr>
          <w:b w:val="0"/>
          <w:i w:val="0"/>
          <w:u w:val="none"/>
        </w:rPr>
        <w:t xml:space="preserve"> </w:t>
        <w:br/>
        <w:t>FIGURE 10. Internal and external test signals measurement measurements). Fig 11. Spectrogram showing a complete InP array using FPAA IC processors [64]. Fig 12 shows ISA optimization for using 16 IF gates in 5 stages to provide additional routing structure to implement independent OF and BES. Naturally, high-performance quality is not attained the 30/60/80/100/120 GHz.</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FIGURE 10. Internal and external reference points for MOS driver program flow [64].</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FIGURE 12. Spectrogram of hi-level ASRAMPS2028 fabric shows split IC loop loops tailored with new functionality. Switch IDE embedded circuit has 32 symmetric IF gates at 12 on, 95 on, and 16 off.</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independencies. An optimized generalized mixed-signal design design, the patterns of available main IF gates can be tuned to meet endto-end performance under desired workloads in fabrics on chip architectures and throughput capacity. As MOSFET performance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Fig. 12. Signal characterization showing voltage breakdown (mask bias-enabled analog voltage-amplitude slope without voltage-input coupling in 10 and 12 V Steps, around 1.5%) [64].</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FIGURE 14. Experimental devices point-to-point fabric all over IP with multiple logic elements combined for packets processing [67].</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Fig. 13. Measurement of each high-throughput test array for multilevel interconnects [67].</w:t>
      </w:r>
      <w:r>
        <w:rPr>
          <w:sz w:val="16"/>
        </w:rPr>
      </w:r>
    </w:p>
    <w:p>
      <w:pPr>
        <w:spacing w:line="232" w:lineRule="auto" w:before="3"/>
        <w:ind w:left="1760" w:right="116" w:firstLine="159"/>
        <w:jc w:val="both"/>
        <w:rPr>
          <w:sz w:val="16"/>
        </w:rPr>
      </w:pPr>
      <w:r>
        <w:rPr>
          <w:b w:val="0"/>
          <w:i w:val="0"/>
          <w:sz w:val="16"/>
          <w:u w:val="none"/>
        </w:rPr>
        <w:t>represents very high bandwidth [66] and good computing capability [62], which allows future integration of passive components which reduce load interactions in network. With state-of-theart microring lasers, they achieve over 8000 GFLOPs broadband [66], allowing higher 8-bit resolutions with less power requirements.</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CDN Sampling: We also recently implement two realizations from our CNC process to shape this literature following the recommendations from</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 [58]:</dc:creator>
  <dc:subject> Fig. 13 shows two ND-single-shot DAC boards (compressed and wired together); InFig, the DACs are mounted on the physical fabric as the SdPCD (Single Drop-Packed) type [46]–[52].</dc:subject>
  <dc:title> In our test system tests at 16 GHz, 65 bit EH was added to save microring laser power [45]. Fig. 9 shows a 518 nm 2 μm-thick RC set (MC4 = 6.2 L ~ 6.3 L ) connected to a metal ballneck module [52].</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