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6"/>
        </w:rPr>
      </w:pPr>
    </w:p>
    <w:p>
      <w:pPr>
        <w:pStyle w:val="Title"/>
        <w:ind w:right="2092"/>
      </w:pPr>
      <w:r>
        <w:rPr/>
        <w:drawing>
          <wp:anchor distT="0" distB="0" distL="0" distR="0" allowOverlap="1" layoutInCell="1" locked="0" behindDoc="0" simplePos="0" relativeHeight="15729664">
            <wp:simplePos x="0" y="0"/>
            <wp:positionH relativeFrom="page">
              <wp:posOffset>0</wp:posOffset>
            </wp:positionH>
            <wp:positionV relativeFrom="paragraph">
              <wp:posOffset>-1578332</wp:posOffset>
            </wp:positionV>
            <wp:extent cx="7559675" cy="1481454"/>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1481454"/>
                    </a:xfrm>
                    <a:prstGeom prst="rect">
                      <a:avLst/>
                    </a:prstGeom>
                  </pic:spPr>
                </pic:pic>
              </a:graphicData>
            </a:graphic>
          </wp:anchor>
        </w:drawing>
      </w:r>
      <w:r>
        <w:rPr/>
        <w:t>AUSTRALIA N CUSTO M S NOTIC E NO. 2007/5 5</w:t>
      </w:r>
    </w:p>
    <w:p>
      <w:pPr>
        <w:pStyle w:val="Title"/>
        <w:spacing w:before="202"/>
        <w:ind w:left="2092"/>
      </w:pPr>
      <w:r>
        <w:rPr/>
        <w:pict>
          <v:rect style="position:absolute;margin-left:55.919998pt;margin-top:30.311853pt;width:506.16pt;height:.48pt;mso-position-horizontal-relative:page;mso-position-vertical-relative:paragraph;z-index:-15728640;mso-wrap-distance-left:0;mso-wrap-distance-right:0" filled="true" fillcolor="#4f81bc" stroked="false">
            <v:fill type="solid"/>
            <w10:wrap type="topAndBottom"/>
          </v:rect>
        </w:pict>
      </w:r>
      <w:r>
        <w:rPr>
          <w:b w:val="0"/>
          <w:i w:val="0"/>
          <w:u w:val="none"/>
        </w:rPr>
        <w:t>Luxury Cars</w:t>
      </w:r>
      <w:r>
        <w:rPr>
          <w:color w:val="0D0D0D"/>
        </w:rPr>
      </w:r>
    </w:p>
    <w:p>
      <w:pPr>
        <w:pStyle w:val="BodyText"/>
        <w:spacing w:before="7"/>
        <w:rPr>
          <w:b/>
          <w:sz w:val="13"/>
        </w:rPr>
      </w:pPr>
    </w:p>
    <w:p>
      <w:pPr>
        <w:spacing w:before="91"/>
        <w:ind w:left="2088" w:right="2092" w:firstLine="0"/>
        <w:jc w:val="center"/>
        <w:rPr>
          <w:b/>
          <w:sz w:val="26"/>
        </w:rPr>
      </w:pPr>
      <w:r>
        <w:rPr>
          <w:b/>
          <w:sz w:val="26"/>
        </w:rPr>
        <w:t>Application for Customs Broker Licence</w:t>
      </w:r>
    </w:p>
    <w:p>
      <w:pPr>
        <w:pStyle w:val="BodyText"/>
        <w:spacing w:before="5"/>
        <w:rPr>
          <w:b/>
        </w:rPr>
      </w:pPr>
    </w:p>
    <w:p>
      <w:pPr>
        <w:pStyle w:val="BodyText"/>
        <w:spacing w:before="1"/>
        <w:ind w:left="720" w:right="1445"/>
      </w:pPr>
      <w:r>
        <w:rPr/>
        <w:t>The following company and person have applied to the Chief Executive Officer for a customs broker licence.</w:t>
      </w:r>
    </w:p>
    <w:p>
      <w:pPr>
        <w:pStyle w:val="BodyText"/>
        <w:spacing w:before="7"/>
      </w:pPr>
    </w:p>
    <w:tbl>
      <w:tblPr>
        <w:tblW w:w="0" w:type="auto"/>
        <w:jc w:val="left"/>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6"/>
      </w:tblGrid>
      <w:tr>
        <w:trPr>
          <w:trHeight w:val="272" w:hRule="atLeast"/>
        </w:trPr>
        <w:tc>
          <w:tcPr>
            <w:tcW w:w="3856" w:type="dxa"/>
          </w:tcPr>
          <w:p>
            <w:pPr>
              <w:pStyle w:val="TableParagraph"/>
              <w:spacing w:line="252" w:lineRule="exact"/>
              <w:rPr>
                <w:sz w:val="24"/>
              </w:rPr>
            </w:pPr>
            <w:r>
              <w:rPr>
                <w:sz w:val="24"/>
              </w:rPr>
              <w:t>The Notice sets out a strict</w:t>
            </w:r>
          </w:p>
        </w:tc>
      </w:tr>
      <w:tr>
        <w:trPr>
          <w:trHeight w:val="276" w:hRule="atLeast"/>
        </w:trPr>
        <w:tc>
          <w:tcPr>
            <w:tcW w:w="3856" w:type="dxa"/>
          </w:tcPr>
          <w:p>
            <w:pPr>
              <w:pStyle w:val="TableParagraph"/>
              <w:rPr>
                <w:sz w:val="24"/>
              </w:rPr>
            </w:pPr>
            <w:r>
              <w:rPr>
                <w:b w:val="0"/>
                <w:i w:val="0"/>
                <w:sz w:val="24"/>
                <w:u w:val="none"/>
              </w:rPr>
              <w:t>control regime for:</w:t>
            </w:r>
            <w:r>
              <w:rPr>
                <w:spacing w:val="66"/>
                <w:sz w:val="24"/>
              </w:rPr>
            </w:r>
            <w:r>
              <w:rPr>
                <w:sz w:val="24"/>
              </w:rPr>
            </w:r>
          </w:p>
        </w:tc>
      </w:tr>
      <w:tr>
        <w:trPr>
          <w:trHeight w:val="275" w:hRule="atLeast"/>
        </w:trPr>
        <w:tc>
          <w:tcPr>
            <w:tcW w:w="3856" w:type="dxa"/>
          </w:tcPr>
          <w:p>
            <w:pPr>
              <w:pStyle w:val="TableParagraph"/>
              <w:rPr>
                <w:sz w:val="24"/>
              </w:rPr>
            </w:pPr>
            <w:r>
              <w:rPr>
                <w:sz w:val="24"/>
              </w:rPr>
              <w:t>Customs brokers;</w:t>
            </w:r>
          </w:p>
        </w:tc>
      </w:tr>
      <w:tr>
        <w:trPr>
          <w:trHeight w:val="275" w:hRule="atLeast"/>
        </w:trPr>
        <w:tc>
          <w:tcPr>
            <w:tcW w:w="3856" w:type="dxa"/>
          </w:tcPr>
          <w:p>
            <w:pPr>
              <w:pStyle w:val="TableParagraph"/>
              <w:rPr>
                <w:sz w:val="24"/>
              </w:rPr>
            </w:pPr>
            <w:r>
              <w:rPr>
                <w:sz w:val="24"/>
              </w:rPr>
              <w:t>Brokerages;</w:t>
            </w:r>
          </w:p>
        </w:tc>
      </w:tr>
      <w:tr>
        <w:trPr>
          <w:trHeight w:val="276" w:hRule="atLeast"/>
        </w:trPr>
        <w:tc>
          <w:tcPr>
            <w:tcW w:w="3856" w:type="dxa"/>
          </w:tcPr>
          <w:p>
            <w:pPr>
              <w:pStyle w:val="TableParagraph"/>
              <w:rPr>
                <w:sz w:val="24"/>
              </w:rPr>
            </w:pPr>
            <w:r>
              <w:rPr>
                <w:sz w:val="24"/>
              </w:rPr>
              <w:t>Importers; and</w:t>
            </w:r>
          </w:p>
        </w:tc>
      </w:tr>
      <w:tr>
        <w:trPr>
          <w:trHeight w:val="275" w:hRule="atLeast"/>
        </w:trPr>
        <w:tc>
          <w:tcPr>
            <w:tcW w:w="3856" w:type="dxa"/>
          </w:tcPr>
          <w:p>
            <w:pPr>
              <w:pStyle w:val="TableParagraph"/>
              <w:rPr>
                <w:sz w:val="24"/>
              </w:rPr>
            </w:pPr>
            <w:r>
              <w:rPr>
                <w:sz w:val="24"/>
              </w:rPr>
              <w:t>Exporters and their representatives.</w:t>
            </w:r>
          </w:p>
        </w:tc>
      </w:tr>
      <w:tr>
        <w:trPr>
          <w:trHeight w:val="272" w:hRule="atLeast"/>
        </w:trPr>
        <w:tc>
          <w:tcPr>
            <w:tcW w:w="3856" w:type="dxa"/>
          </w:tcPr>
          <w:p>
            <w:pPr>
              <w:pStyle w:val="TableParagraph"/>
              <w:spacing w:line="252" w:lineRule="exact"/>
              <w:rPr>
                <w:sz w:val="24"/>
              </w:rPr>
            </w:pPr>
            <w:r>
              <w:rPr>
                <w:sz w:val="24"/>
              </w:rPr>
              <w:t>Importing and exporting goods</w:t>
            </w:r>
          </w:p>
        </w:tc>
      </w:tr>
    </w:tbl>
    <w:p>
      <w:pPr>
        <w:pStyle w:val="BodyText"/>
        <w:rPr>
          <w:sz w:val="26"/>
        </w:rPr>
      </w:pPr>
    </w:p>
    <w:p>
      <w:pPr>
        <w:pStyle w:val="BodyText"/>
        <w:rPr>
          <w:sz w:val="22"/>
        </w:rPr>
      </w:pPr>
    </w:p>
    <w:p>
      <w:pPr>
        <w:pStyle w:val="BodyText"/>
        <w:ind w:left="720" w:right="937"/>
      </w:pPr>
      <w:r>
        <w:rPr>
          <w:b w:val="0"/>
          <w:i w:val="0"/>
          <w:u w:val="none"/>
        </w:rPr>
        <w:t>Any person wishing to make written representation in respect of these applications should address the correspondence by Friday 24 August 2007 to:</w:t>
      </w:r>
      <w:r>
        <w:rPr>
          <w:color w:val="0D0D0D"/>
        </w:rPr>
      </w:r>
      <w:r>
        <w:rPr/>
      </w:r>
    </w:p>
    <w:p>
      <w:pPr>
        <w:pStyle w:val="BodyText"/>
        <w:spacing w:before="8"/>
      </w:pPr>
    </w:p>
    <w:tbl>
      <w:tblPr>
        <w:tblW w:w="0" w:type="auto"/>
        <w:jc w:val="left"/>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9"/>
        <w:gridCol w:w="4850"/>
      </w:tblGrid>
      <w:tr>
        <w:trPr>
          <w:trHeight w:val="1096" w:hRule="atLeast"/>
        </w:trPr>
        <w:tc>
          <w:tcPr>
            <w:tcW w:w="3859" w:type="dxa"/>
          </w:tcPr>
          <w:p>
            <w:pPr>
              <w:pStyle w:val="TableParagraph"/>
              <w:spacing w:line="240" w:lineRule="auto"/>
              <w:ind w:right="1011"/>
              <w:rPr>
                <w:sz w:val="24"/>
              </w:rPr>
            </w:pPr>
            <w:r>
              <w:rPr>
                <w:sz w:val="24"/>
              </w:rPr>
              <w:t>Customs broker-related activities</w:t>
            </w:r>
          </w:p>
          <w:p>
            <w:pPr>
              <w:pStyle w:val="TableParagraph"/>
              <w:rPr>
                <w:sz w:val="24"/>
              </w:rPr>
            </w:pPr>
            <w:r>
              <w:rPr>
                <w:sz w:val="24"/>
              </w:rPr>
              <w:t>Providing</w:t>
            </w:r>
          </w:p>
        </w:tc>
        <w:tc>
          <w:tcPr>
            <w:tcW w:w="4850" w:type="dxa"/>
          </w:tcPr>
          <w:p>
            <w:pPr>
              <w:pStyle w:val="TableParagraph"/>
              <w:spacing w:line="240" w:lineRule="auto"/>
              <w:ind w:left="1127" w:right="177"/>
              <w:rPr>
                <w:sz w:val="24"/>
              </w:rPr>
            </w:pPr>
            <w:r>
              <w:rPr>
                <w:sz w:val="24"/>
              </w:rPr>
              <w:t xml:space="preserve">Importers with </w:t>
            </w:r>
            <w:hyperlink r:id="rId6">
              <w:r>
                <w:rPr>
                  <w:color w:val="0000FF"/>
                  <w:sz w:val="24"/>
                  <w:u w:val="single" w:color="0000FF"/>
                </w:rPr>
                <w:t>brokers.licensing@border.gov.au</w:t>
              </w:r>
            </w:hyperlink>
          </w:p>
        </w:tc>
      </w:tr>
    </w:tbl>
    <w:p>
      <w:pPr>
        <w:pStyle w:val="BodyText"/>
        <w:spacing w:before="14"/>
        <w:ind w:left="720" w:right="76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550" w:lineRule="atLeast" w:before="122"/>
        <w:ind w:left="720" w:right="10036"/>
      </w:pPr>
      <w:r>
        <w:rPr/>
        <w:t>Craig Sommerville National Manager</w:t>
      </w:r>
    </w:p>
    <w:p>
      <w:pPr>
        <w:pStyle w:val="BodyText"/>
        <w:spacing w:before="2"/>
        <w:ind w:left="720"/>
      </w:pPr>
      <w:r>
        <w:rPr/>
        <w:t>Import-Export Management Branch for</w:t>
      </w:r>
    </w:p>
    <w:p>
      <w:pPr>
        <w:pStyle w:val="BodyText"/>
        <w:ind w:left="720" w:right="7287"/>
      </w:pPr>
      <w:r>
        <w:rPr/>
        <w:t>Chief Executive Officer 1 August 2007</w:t>
      </w:r>
    </w:p>
    <w:p>
      <w:pPr>
        <w:pStyle w:val="BodyText"/>
        <w:spacing w:before="1"/>
      </w:pPr>
    </w:p>
    <w:p>
      <w:pPr>
        <w:pStyle w:val="BodyText"/>
        <w:ind w:left="720"/>
      </w:pPr>
      <w:r>
        <w:rPr>
          <w:b w:val="0"/>
          <w:i w:val="0"/>
          <w:color w:val="0D0D0D"/>
          <w:u w:val="none"/>
        </w:rPr>
        <w:t>SOMMERVILLE</w:t>
      </w:r>
      <w:r>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r>
        <w:rPr/>
        <w:pict>
          <v:rect style="position:absolute;margin-left:56.639999pt;margin-top:17.211977pt;width:482.02pt;height:.48pt;mso-position-horizontal-relative:page;mso-position-vertical-relative:paragraph;z-index:-15728128;mso-wrap-distance-left:0;mso-wrap-distance-right:0" filled="true" fillcolor="#000000" stroked="false">
            <v:fill type="solid"/>
            <w10:wrap type="topAndBottom"/>
          </v:rect>
        </w:pict>
      </w:r>
    </w:p>
    <w:p>
      <w:pPr>
        <w:spacing w:before="130"/>
        <w:ind w:left="2091" w:right="2092" w:firstLine="0"/>
        <w:jc w:val="center"/>
        <w:rPr>
          <w:sz w:val="16"/>
        </w:rPr>
      </w:pPr>
      <w:r>
        <w:rPr>
          <w:sz w:val="16"/>
        </w:rPr>
        <w:t>CUSTOMS AND BORDER PROTECTION NOTICE</w:t>
      </w:r>
    </w:p>
    <w:p>
      <w:pPr>
        <w:spacing w:before="18"/>
        <w:ind w:left="2092" w:right="2092" w:firstLine="0"/>
        <w:jc w:val="center"/>
        <w:rPr>
          <w:sz w:val="16"/>
        </w:rPr>
      </w:pPr>
      <w:r>
        <w:rPr>
          <w:sz w:val="16"/>
        </w:rPr>
        <w:t xml:space="preserve">This notice sets out Australia’s general approach to the control of importers and brokers in respect of goods imported into Australia. </w:t>
      </w:r>
      <w:hyperlink r:id="rId7">
        <w:r>
          <w:rPr>
            <w:sz w:val="16"/>
          </w:rPr>
          <w:t>www.homeaffairs.gov.au</w:t>
        </w:r>
      </w:hyperlink>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4"/>
      <w:szCs w:val="24"/>
      <w:lang w:val="en-au" w:eastAsia="en-US" w:bidi="ar-SA"/>
    </w:rPr>
  </w:style>
  <w:style w:styleId="Title" w:type="paragraph">
    <w:name w:val="Title"/>
    <w:basedOn w:val="Normal"/>
    <w:uiPriority w:val="1"/>
    <w:qFormat/>
    <w:pPr>
      <w:spacing w:before="91"/>
      <w:ind w:left="2091" w:right="1639"/>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spacing w:line="256" w:lineRule="exact"/>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 Id="rId7" Type="http://schemas.openxmlformats.org/officeDocument/2006/relationships/hyperlink" Target="http://www.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Customs clearance for imports and exporting goods</dc:creator>
  <cp:keywords>Importing and exporting goods</cp:keywords>
  <dc:subject>Exporters and their representatives; and</dc:subject>
  <dc:title>Holders of brokers licences.</dc:title>
  <dcterms:created xsi:type="dcterms:W3CDTF">2020-12-09T23:13:33Z</dcterms:created>
  <dcterms:modified xsi:type="dcterms:W3CDTF">2020-12-09T23:13:33Z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2018-02-08T00:00:00Z</vt:filetime>
  </property>
  <property fmtid="{D5CDD505-2E9C-101B-9397-08002B2CF9AE}" pid="3" name="Creator">
    <vt:lpwstr>Microsoft® Word 2016</vt:lpwstr>
  </property>
  <property fmtid="{D5CDD505-2E9C-101B-9397-08002B2CF9AE}" pid="4" name="LastSaved">
    <vt:filetime>2020-12-09T00:00:00Z</vt:filetime>
  </property>
</Properties>
</file>