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spacing w:before="8"/>
        <w:rPr>
          <w:rFonts w:ascii="Times New Roman"/>
          <w:sz w:val="23"/>
        </w:rPr>
      </w:pPr>
    </w:p>
    <w:p>
      <w:pPr>
        <w:pStyle w:val="Title"/>
        <w:spacing w:line="264" w:lineRule="auto"/>
      </w:pPr>
      <w:r>
        <w:rPr/>
        <w:pict>
          <v:group style="position:absolute;margin-left:0pt;margin-top:-152.022888pt;width:594.85pt;height:116pt;mso-position-horizontal-relative:page;mso-position-vertical-relative:paragraph;z-index:15729152" coordorigin="0,-3040" coordsize="11897,2320">
            <v:shape style="position:absolute;left:0;top:-3041;width:11897;height:2320" type="#_x0000_t75" stroked="false">
              <v:imagedata r:id="rId5" o:title=""/>
            </v:shape>
            <v:shape style="position:absolute;left:679;top:-2363;width:1368;height:1015" type="#_x0000_t75" stroked="false">
              <v:imagedata r:id="rId6" o:title=""/>
            </v:shape>
            <v:line style="position:absolute" from="2173,-1725" to="5096,-1725" stroked="true" strokeweight=".748351pt" strokecolor="#ffffff">
              <v:stroke dashstyle="solid"/>
            </v:line>
            <v:shapetype id="_x0000_t202" o:spt="202" coordsize="21600,21600" path="m,l,21600r21600,l21600,xe">
              <v:stroke joinstyle="miter"/>
              <v:path gradientshapeok="t" o:connecttype="rect"/>
            </v:shapetype>
            <v:shape style="position:absolute;left:0;top:-3041;width:11897;height:2320" type="#_x0000_t202" filled="false" stroked="false">
              <v:textbox inset="0,0,0,0">
                <w:txbxContent>
                  <w:p>
                    <w:pPr>
                      <w:spacing w:line="240" w:lineRule="auto" w:before="0"/>
                      <w:rPr>
                        <w:sz w:val="28"/>
                      </w:rPr>
                    </w:pPr>
                  </w:p>
                  <w:p>
                    <w:pPr>
                      <w:spacing w:line="240" w:lineRule="auto" w:before="0"/>
                      <w:rPr>
                        <w:sz w:val="28"/>
                      </w:rPr>
                    </w:pPr>
                  </w:p>
                  <w:p>
                    <w:pPr>
                      <w:spacing w:line="240" w:lineRule="auto" w:before="10"/>
                      <w:rPr>
                        <w:sz w:val="25"/>
                      </w:rPr>
                    </w:pPr>
                  </w:p>
                  <w:p>
                    <w:pPr>
                      <w:spacing w:line="369" w:lineRule="auto" w:before="0"/>
                      <w:ind w:left="2158" w:right="6074" w:firstLine="0"/>
                      <w:jc w:val="left"/>
                      <w:rPr>
                        <w:rFonts w:ascii="Times New Roman"/>
                        <w:b/>
                        <w:sz w:val="26"/>
                      </w:rPr>
                    </w:pPr>
                    <w:r>
                      <w:rPr>
                        <w:rFonts w:ascii="Times New Roman"/>
                        <w:b/>
                        <w:color w:val="FFFFFF"/>
                        <w:spacing w:val="-9"/>
                        <w:sz w:val="26"/>
                      </w:rPr>
                      <w:t>Australian </w:t>
                    </w:r>
                    <w:r>
                      <w:rPr>
                        <w:rFonts w:ascii="Times New Roman"/>
                        <w:b/>
                        <w:color w:val="FFFFFF"/>
                        <w:spacing w:val="-11"/>
                        <w:sz w:val="26"/>
                      </w:rPr>
                      <w:t>Government </w:t>
                    </w:r>
                    <w:r>
                      <w:rPr>
                        <w:rFonts w:ascii="Times New Roman"/>
                        <w:b/>
                        <w:color w:val="FFFFFF"/>
                        <w:spacing w:val="-10"/>
                        <w:sz w:val="26"/>
                      </w:rPr>
                      <w:t>Department </w:t>
                    </w:r>
                    <w:r>
                      <w:rPr>
                        <w:rFonts w:ascii="Times New Roman"/>
                        <w:b/>
                        <w:color w:val="FFFFFF"/>
                        <w:spacing w:val="-6"/>
                        <w:sz w:val="26"/>
                      </w:rPr>
                      <w:t>of </w:t>
                    </w:r>
                    <w:r>
                      <w:rPr>
                        <w:rFonts w:ascii="Times New Roman"/>
                        <w:b/>
                        <w:color w:val="FFFFFF"/>
                        <w:spacing w:val="-10"/>
                        <w:sz w:val="26"/>
                      </w:rPr>
                      <w:t>Home </w:t>
                    </w:r>
                    <w:r>
                      <w:rPr>
                        <w:rFonts w:ascii="Times New Roman"/>
                        <w:b/>
                        <w:color w:val="FFFFFF"/>
                        <w:spacing w:val="-9"/>
                        <w:sz w:val="26"/>
                      </w:rPr>
                      <w:t>Affairs</w:t>
                    </w:r>
                  </w:p>
                </w:txbxContent>
              </v:textbox>
              <w10:wrap type="none"/>
            </v:shape>
            <w10:wrap type="none"/>
          </v:group>
        </w:pict>
      </w:r>
      <w:r>
        <w:rPr>
          <w:b w:val="0"/>
          <w:i w:val="0"/>
          <w:color w:val="034EA1"/>
          <w:spacing w:val="-4"/>
          <w:u w:val="none"/>
        </w:rPr>
        <w:t>AUSTRALIAN CUSTOMS NOTICE NO. 2011/03</w:t>
      </w:r>
      <w:r>
        <w:rPr>
          <w:color w:val="034EA1"/>
        </w:rPr>
      </w:r>
      <w:r>
        <w:rPr>
          <w:color w:val="034EA1"/>
          <w:spacing w:val="-6"/>
        </w:rPr>
      </w:r>
      <w:r>
        <w:rPr>
          <w:color w:val="034EA1"/>
        </w:rPr>
      </w:r>
    </w:p>
    <w:p>
      <w:pPr>
        <w:pStyle w:val="BodyText"/>
        <w:spacing w:before="8"/>
        <w:rPr>
          <w:b/>
          <w:sz w:val="19"/>
        </w:rPr>
      </w:pPr>
      <w:r>
        <w:rPr/>
        <w:pict>
          <v:rect style="position:absolute;margin-left:56.650002pt;margin-top:13.293427pt;width:481.9pt;height:.45pt;mso-position-horizontal-relative:page;mso-position-vertical-relative:paragraph;z-index:-15728640;mso-wrap-distance-left:0;mso-wrap-distance-right:0" filled="true" fillcolor="#034ea1" stroked="false">
            <v:fill type="solid"/>
            <w10:wrap type="topAndBottom"/>
          </v:rect>
        </w:pict>
      </w:r>
    </w:p>
    <w:p>
      <w:pPr>
        <w:spacing w:before="50"/>
        <w:ind w:left="2823" w:right="2394" w:firstLine="365"/>
        <w:jc w:val="left"/>
        <w:rPr>
          <w:rFonts w:ascii="Arial-BoldItalicMT"/>
          <w:b/>
          <w:i/>
          <w:sz w:val="28"/>
        </w:rPr>
      </w:pPr>
      <w:r>
        <w:rPr>
          <w:rFonts w:ascii="Arial-BoldItalicMT"/>
          <w:b/>
          <w:i/>
          <w:sz w:val="28"/>
        </w:rPr>
        <w:t>Indexation of certain customs and excise duties in relation to tobacco.</w:t>
      </w:r>
    </w:p>
    <w:p>
      <w:pPr>
        <w:pStyle w:val="BodyText"/>
        <w:spacing w:before="3"/>
        <w:rPr>
          <w:rFonts w:ascii="Arial-BoldItalicMT"/>
          <w:b/>
          <w:i/>
          <w:sz w:val="28"/>
        </w:rPr>
      </w:pPr>
    </w:p>
    <w:p>
      <w:pPr>
        <w:pStyle w:val="BodyText"/>
        <w:ind w:left="1133" w:right="1352"/>
      </w:pPr>
      <w:r>
        <w:rPr/>
        <w:t>From 1 July 2011 tobacco excise and excise-equivalent customs duty rates for tobacco products and tobacco, including cigarettes and tobacco substitutes (not included in other classes), will be indexed by the application of the Customs Tariff Proposal (No 1) 2011. The Proposal commenced on 6 July 2011 and received Royal Assent on 22 June 2011.</w:t>
      </w:r>
    </w:p>
    <w:p>
      <w:pPr>
        <w:pStyle w:val="BodyText"/>
        <w:spacing w:before="8"/>
        <w:rPr>
          <w:sz w:val="19"/>
        </w:rPr>
      </w:pPr>
    </w:p>
    <w:p>
      <w:pPr>
        <w:pStyle w:val="BodyText"/>
        <w:ind w:left="1133"/>
      </w:pPr>
      <w:r>
        <w:rPr/>
        <w:t>The Proposal implements new measures to prevent illicit tobacco and tobacco products entering Australia from sub-districts with a high rate of excise and excise-equivalent customs duty.</w:t>
      </w:r>
    </w:p>
    <w:p>
      <w:pPr>
        <w:pStyle w:val="BodyText"/>
        <w:spacing w:before="1"/>
      </w:pPr>
    </w:p>
    <w:p>
      <w:pPr>
        <w:pStyle w:val="ListParagraph"/>
        <w:numPr>
          <w:ilvl w:val="0"/>
          <w:numId w:val="1"/>
        </w:numPr>
        <w:tabs>
          <w:tab w:pos="1983" w:val="left" w:leader="none"/>
          <w:tab w:pos="1984" w:val="left" w:leader="none"/>
        </w:tabs>
        <w:spacing w:line="240" w:lineRule="auto" w:before="0" w:after="0"/>
        <w:ind w:left="1983" w:right="0" w:hanging="424"/>
        <w:jc w:val="left"/>
        <w:rPr>
          <w:sz w:val="20"/>
        </w:rPr>
      </w:pPr>
      <w:r>
        <w:rPr>
          <w:b w:val="0"/>
          <w:i w:val="0"/>
          <w:sz w:val="20"/>
          <w:u w:val="none"/>
        </w:rPr>
        <w:t>Excise-equivalent customs duty rates applicable to tobacco products</w:t>
      </w:r>
      <w:r>
        <w:rPr>
          <w:spacing w:val="-3"/>
          <w:sz w:val="20"/>
        </w:rPr>
      </w:r>
      <w:r>
        <w:rPr>
          <w:sz w:val="20"/>
        </w:rPr>
      </w:r>
    </w:p>
    <w:p>
      <w:pPr>
        <w:pStyle w:val="ListParagraph"/>
        <w:numPr>
          <w:ilvl w:val="0"/>
          <w:numId w:val="1"/>
        </w:numPr>
        <w:tabs>
          <w:tab w:pos="1983" w:val="left" w:leader="none"/>
          <w:tab w:pos="1984" w:val="left" w:leader="none"/>
        </w:tabs>
        <w:spacing w:line="240" w:lineRule="auto" w:before="1" w:after="0"/>
        <w:ind w:left="1983" w:right="0" w:hanging="424"/>
        <w:jc w:val="left"/>
        <w:rPr>
          <w:sz w:val="20"/>
        </w:rPr>
      </w:pPr>
      <w:r>
        <w:rPr>
          <w:b w:val="0"/>
          <w:i w:val="0"/>
          <w:sz w:val="20"/>
          <w:u w:val="none"/>
        </w:rPr>
        <w:t>Operative 11/4/2020</w:t>
      </w:r>
      <w:r>
        <w:rPr>
          <w:spacing w:val="-2"/>
          <w:sz w:val="20"/>
        </w:rPr>
      </w:r>
      <w:r>
        <w:rPr>
          <w:sz w:val="20"/>
        </w:rPr>
      </w:r>
    </w:p>
    <w:p>
      <w:pPr>
        <w:pStyle w:val="ListParagraph"/>
        <w:numPr>
          <w:ilvl w:val="0"/>
          <w:numId w:val="1"/>
        </w:numPr>
        <w:tabs>
          <w:tab w:pos="1983" w:val="left" w:leader="none"/>
          <w:tab w:pos="1984" w:val="left" w:leader="none"/>
        </w:tabs>
        <w:spacing w:line="240" w:lineRule="auto" w:before="0" w:after="0"/>
        <w:ind w:left="1983" w:right="0" w:hanging="424"/>
        <w:jc w:val="left"/>
        <w:rPr>
          <w:sz w:val="20"/>
        </w:rPr>
      </w:pPr>
      <w:r>
        <w:rPr>
          <w:b w:val="0"/>
          <w:i w:val="0"/>
          <w:sz w:val="20"/>
          <w:u w:val="none"/>
        </w:rPr>
        <w:t>Where a new excise-equivalent customs duty rate for a single tobacco product is introduced in a bill, the new rate of duty will be indexed to the indexation factor.</w:t>
      </w:r>
      <w:r>
        <w:rPr>
          <w:spacing w:val="-3"/>
          <w:sz w:val="20"/>
        </w:rPr>
      </w:r>
      <w:r>
        <w:rPr>
          <w:sz w:val="20"/>
        </w:rPr>
      </w:r>
      <w:r>
        <w:rPr>
          <w:spacing w:val="-3"/>
          <w:sz w:val="20"/>
        </w:rPr>
      </w:r>
      <w:r>
        <w:rPr>
          <w:sz w:val="20"/>
        </w:rPr>
      </w:r>
      <w:r>
        <w:rPr>
          <w:spacing w:val="3"/>
          <w:sz w:val="20"/>
        </w:rPr>
      </w:r>
      <w:r>
        <w:rPr>
          <w:sz w:val="20"/>
        </w:rPr>
      </w:r>
    </w:p>
    <w:p>
      <w:pPr>
        <w:pStyle w:val="ListParagraph"/>
        <w:numPr>
          <w:ilvl w:val="0"/>
          <w:numId w:val="1"/>
        </w:numPr>
        <w:tabs>
          <w:tab w:pos="1983" w:val="left" w:leader="none"/>
          <w:tab w:pos="1984" w:val="left" w:leader="none"/>
        </w:tabs>
        <w:spacing w:line="240" w:lineRule="auto" w:before="0" w:after="0"/>
        <w:ind w:left="1983" w:right="1544" w:hanging="423"/>
        <w:jc w:val="left"/>
        <w:rPr>
          <w:sz w:val="20"/>
        </w:rPr>
      </w:pPr>
      <w:r>
        <w:rPr>
          <w:b w:val="0"/>
          <w:i w:val="0"/>
          <w:sz w:val="20"/>
          <w:u w:val="none"/>
        </w:rPr>
        <w:t>Refer to Attachment B to determine the indexation factor (a weighting factor of 1.014) applicable for the 2012-2013 CPI year.</w:t>
      </w:r>
      <w:r>
        <w:rPr>
          <w:spacing w:val="-3"/>
          <w:sz w:val="20"/>
        </w:rPr>
      </w:r>
      <w:r>
        <w:rPr>
          <w:sz w:val="20"/>
        </w:rPr>
      </w:r>
      <w:r>
        <w:rPr>
          <w:spacing w:val="-2"/>
          <w:sz w:val="20"/>
        </w:rPr>
      </w:r>
      <w:r>
        <w:rPr>
          <w:sz w:val="20"/>
        </w:rPr>
      </w:r>
      <w:r>
        <w:rPr>
          <w:spacing w:val="-3"/>
          <w:sz w:val="20"/>
        </w:rPr>
      </w:r>
      <w:r>
        <w:rPr>
          <w:sz w:val="20"/>
        </w:rPr>
      </w:r>
    </w:p>
    <w:p>
      <w:pPr>
        <w:pStyle w:val="ListParagraph"/>
        <w:numPr>
          <w:ilvl w:val="0"/>
          <w:numId w:val="1"/>
        </w:numPr>
        <w:tabs>
          <w:tab w:pos="1983" w:val="left" w:leader="none"/>
          <w:tab w:pos="1984" w:val="left" w:leader="none"/>
        </w:tabs>
        <w:spacing w:line="240" w:lineRule="auto" w:before="1" w:after="0"/>
        <w:ind w:left="1983" w:right="0" w:hanging="424"/>
        <w:jc w:val="left"/>
        <w:rPr>
          <w:sz w:val="20"/>
        </w:rPr>
      </w:pPr>
      <w:r>
        <w:rPr>
          <w:b w:val="0"/>
          <w:i w:val="0"/>
          <w:spacing w:val="-3"/>
          <w:sz w:val="20"/>
          <w:u w:val="none"/>
        </w:rPr>
        <w:t>Statistical</w:t>
      </w:r>
      <w:r>
        <w:rPr>
          <w:sz w:val="20"/>
        </w:rPr>
      </w:r>
      <w:r>
        <w:rPr>
          <w:spacing w:val="3"/>
          <w:sz w:val="20"/>
        </w:rPr>
      </w:r>
      <w:r>
        <w:rPr>
          <w:sz w:val="20"/>
        </w:rPr>
      </w:r>
    </w:p>
    <w:p>
      <w:pPr>
        <w:pStyle w:val="ListParagraph"/>
        <w:numPr>
          <w:ilvl w:val="0"/>
          <w:numId w:val="1"/>
        </w:numPr>
        <w:tabs>
          <w:tab w:pos="1983" w:val="left" w:leader="none"/>
          <w:tab w:pos="1984" w:val="left" w:leader="none"/>
        </w:tabs>
        <w:spacing w:line="240" w:lineRule="auto" w:before="1" w:after="0"/>
        <w:ind w:left="1983" w:right="0" w:hanging="424"/>
        <w:jc w:val="left"/>
        <w:rPr>
          <w:sz w:val="20"/>
        </w:rPr>
      </w:pPr>
      <w:r>
        <w:rPr>
          <w:b w:val="0"/>
          <w:i w:val="0"/>
          <w:sz w:val="20"/>
          <w:u w:val="none"/>
        </w:rPr>
        <w:t>Table 3-6A Attachment A</w:t>
      </w:r>
      <w:r>
        <w:rPr>
          <w:spacing w:val="-5"/>
          <w:sz w:val="20"/>
        </w:rPr>
      </w:r>
      <w:r>
        <w:rPr>
          <w:sz w:val="20"/>
        </w:rPr>
      </w:r>
    </w:p>
    <w:p>
      <w:pPr>
        <w:pStyle w:val="ListParagraph"/>
        <w:numPr>
          <w:ilvl w:val="0"/>
          <w:numId w:val="1"/>
        </w:numPr>
        <w:tabs>
          <w:tab w:pos="1983" w:val="left" w:leader="none"/>
          <w:tab w:pos="1984" w:val="left" w:leader="none"/>
        </w:tabs>
        <w:spacing w:line="240" w:lineRule="auto" w:before="0" w:after="0"/>
        <w:ind w:left="1983" w:right="0" w:hanging="424"/>
        <w:jc w:val="left"/>
        <w:rPr>
          <w:sz w:val="20"/>
        </w:rPr>
      </w:pPr>
      <w:r>
        <w:rPr>
          <w:b w:val="0"/>
          <w:i w:val="0"/>
          <w:sz w:val="20"/>
          <w:u w:val="none"/>
        </w:rPr>
        <w:t>Indexation factor for the June quarter 2011</w:t>
      </w:r>
      <w:r>
        <w:rPr>
          <w:spacing w:val="-3"/>
          <w:sz w:val="20"/>
        </w:rPr>
      </w:r>
      <w:r>
        <w:rPr>
          <w:sz w:val="20"/>
        </w:rPr>
      </w:r>
      <w:r>
        <w:rPr>
          <w:spacing w:val="4"/>
          <w:sz w:val="20"/>
        </w:rPr>
      </w:r>
      <w:r>
        <w:rPr>
          <w:sz w:val="20"/>
        </w:rPr>
      </w:r>
    </w:p>
    <w:p>
      <w:pPr>
        <w:pStyle w:val="ListParagraph"/>
        <w:numPr>
          <w:ilvl w:val="0"/>
          <w:numId w:val="1"/>
        </w:numPr>
        <w:tabs>
          <w:tab w:pos="1983" w:val="left" w:leader="none"/>
          <w:tab w:pos="1984" w:val="left" w:leader="none"/>
        </w:tabs>
        <w:spacing w:line="228" w:lineRule="exact" w:before="1" w:after="0"/>
        <w:ind w:left="1983" w:right="0" w:hanging="424"/>
        <w:jc w:val="left"/>
        <w:rPr>
          <w:sz w:val="20"/>
        </w:rPr>
      </w:pPr>
      <w:r>
        <w:rPr>
          <w:b w:val="0"/>
          <w:i w:val="0"/>
          <w:sz w:val="20"/>
          <w:u w:val="none"/>
        </w:rPr>
        <w:t>1 = percentage change from previous June quarter data 1.014</w:t>
      </w:r>
      <w:r>
        <w:rPr>
          <w:spacing w:val="-12"/>
          <w:sz w:val="20"/>
        </w:rPr>
      </w:r>
      <w:r>
        <w:rPr>
          <w:sz w:val="20"/>
        </w:rPr>
      </w:r>
    </w:p>
    <w:p>
      <w:pPr>
        <w:pStyle w:val="ListParagraph"/>
        <w:numPr>
          <w:ilvl w:val="0"/>
          <w:numId w:val="1"/>
        </w:numPr>
        <w:tabs>
          <w:tab w:pos="1983" w:val="left" w:leader="none"/>
          <w:tab w:pos="1984" w:val="left" w:leader="none"/>
        </w:tabs>
        <w:spacing w:line="228" w:lineRule="exact" w:before="0" w:after="0"/>
        <w:ind w:left="1983" w:right="0" w:hanging="424"/>
        <w:jc w:val="left"/>
        <w:rPr>
          <w:sz w:val="20"/>
        </w:rPr>
      </w:pPr>
      <w:r>
        <w:rPr>
          <w:b w:val="0"/>
          <w:i w:val="0"/>
          <w:sz w:val="20"/>
          <w:u w:val="none"/>
        </w:rPr>
        <w:t>(PNG:$5.45/L of tobacco content)</w:t>
      </w:r>
      <w:r>
        <w:rPr>
          <w:spacing w:val="-3"/>
          <w:sz w:val="20"/>
        </w:rPr>
      </w:r>
      <w:r>
        <w:rPr>
          <w:sz w:val="20"/>
        </w:rPr>
      </w:r>
    </w:p>
    <w:p>
      <w:pPr>
        <w:pStyle w:val="ListParagraph"/>
        <w:numPr>
          <w:ilvl w:val="0"/>
          <w:numId w:val="1"/>
        </w:numPr>
        <w:tabs>
          <w:tab w:pos="1983" w:val="left" w:leader="none"/>
          <w:tab w:pos="1984" w:val="left" w:leader="none"/>
        </w:tabs>
        <w:spacing w:line="240" w:lineRule="auto" w:before="0" w:after="0"/>
        <w:ind w:left="1983" w:right="0" w:hanging="424"/>
        <w:jc w:val="left"/>
        <w:rPr>
          <w:sz w:val="20"/>
        </w:rPr>
      </w:pPr>
      <w:r>
        <w:rPr>
          <w:b w:val="0"/>
          <w:i w:val="0"/>
          <w:sz w:val="20"/>
          <w:u w:val="none"/>
        </w:rPr>
        <w:t>2 = percentage change from previous June quarter data $0 (PNG:$0.99/L of tobacco content)</w:t>
      </w:r>
      <w:r>
        <w:rPr>
          <w:spacing w:val="-14"/>
          <w:sz w:val="20"/>
        </w:rPr>
      </w:r>
      <w:r>
        <w:rPr>
          <w:sz w:val="20"/>
        </w:rPr>
      </w:r>
    </w:p>
    <w:p>
      <w:pPr>
        <w:pStyle w:val="ListParagraph"/>
        <w:numPr>
          <w:ilvl w:val="0"/>
          <w:numId w:val="1"/>
        </w:numPr>
        <w:tabs>
          <w:tab w:pos="1983" w:val="left" w:leader="none"/>
          <w:tab w:pos="1984" w:val="left" w:leader="none"/>
        </w:tabs>
        <w:spacing w:line="240" w:lineRule="auto" w:before="1" w:after="0"/>
        <w:ind w:left="1983" w:right="0" w:hanging="424"/>
        <w:jc w:val="left"/>
        <w:rPr>
          <w:sz w:val="20"/>
        </w:rPr>
      </w:pPr>
      <w:r>
        <w:rPr>
          <w:b w:val="0"/>
          <w:i w:val="0"/>
          <w:sz w:val="20"/>
          <w:u w:val="none"/>
        </w:rPr>
        <w:t>3 = percentage change from previous June quarter data</w:t>
      </w:r>
      <w:r>
        <w:rPr>
          <w:spacing w:val="-6"/>
          <w:sz w:val="20"/>
        </w:rPr>
      </w:r>
      <w:r>
        <w:rPr>
          <w:spacing w:val="-3"/>
          <w:sz w:val="20"/>
        </w:rPr>
      </w:r>
    </w:p>
    <w:p>
      <w:pPr>
        <w:pStyle w:val="BodyText"/>
        <w:spacing w:before="4"/>
      </w:pPr>
    </w:p>
    <w:p>
      <w:pPr>
        <w:spacing w:line="235" w:lineRule="auto" w:before="0"/>
        <w:ind w:left="1133" w:right="1140" w:firstLine="0"/>
        <w:jc w:val="left"/>
        <w:rPr>
          <w:sz w:val="20"/>
        </w:rPr>
      </w:pPr>
      <w:r>
        <w:rPr>
          <w:b w:val="0"/>
          <w:i w:val="0"/>
          <w:sz w:val="20"/>
          <w:u w:val="none"/>
        </w:rPr>
        <w:t>4 = statistical code ‘indicates an increase in the value of the excise-equivalent customs duty rate for a tobacco product.</w:t>
      </w:r>
      <w:r>
        <w:rPr>
          <w:i/>
          <w:sz w:val="20"/>
        </w:rPr>
      </w:r>
      <w:r>
        <w:rPr>
          <w:sz w:val="20"/>
        </w:rPr>
      </w:r>
    </w:p>
    <w:p>
      <w:pPr>
        <w:pStyle w:val="BodyText"/>
        <w:spacing w:before="7"/>
      </w:pPr>
    </w:p>
    <w:p>
      <w:pPr>
        <w:pStyle w:val="BodyText"/>
        <w:spacing w:line="228" w:lineRule="exact" w:before="1"/>
        <w:ind w:left="1133"/>
      </w:pPr>
      <w:r>
        <w:rPr/>
        <w:t>Statistical code ‘indicates an increase in the value of customs duty.</w:t>
      </w:r>
    </w:p>
    <w:p>
      <w:pPr>
        <w:spacing w:line="228" w:lineRule="exact" w:before="0"/>
        <w:ind w:left="1133" w:right="0" w:firstLine="0"/>
        <w:jc w:val="left"/>
        <w:rPr>
          <w:sz w:val="20"/>
        </w:rPr>
      </w:pPr>
      <w:r>
        <w:rPr>
          <w:b w:val="0"/>
          <w:i/>
          <w:sz w:val="20"/>
          <w:u w:val="none"/>
        </w:rPr>
        <w:t>The following rates for Schedule 6 goods apply to tobacco products:</w:t>
      </w:r>
      <w:r>
        <w:rPr>
          <w:sz w:val="20"/>
        </w:rPr>
      </w:r>
    </w:p>
    <w:p>
      <w:pPr>
        <w:pStyle w:val="BodyText"/>
        <w:spacing w:before="5"/>
        <w:ind w:left="1133" w:right="1371"/>
      </w:pPr>
      <w:hyperlink r:id="rId7">
        <w:r>
          <w:rPr>
            <w:color w:val="034EA1"/>
            <w:u w:val="single" w:color="034EA1"/>
          </w:rPr>
          <w:t>http://www.homeaffairs.gov.au/Busi/cargo-support-trade-and-goods/importing-goods/tariff-classification-of-</w:t>
        </w:r>
      </w:hyperlink>
      <w:r>
        <w:rPr>
          <w:color w:val="034EA1"/>
        </w:rPr>
        <w:t xml:space="preserve"> </w:t>
      </w:r>
      <w:hyperlink r:id="rId7">
        <w:r>
          <w:rPr>
            <w:color w:val="034EA1"/>
            <w:u w:val="single" w:color="034EA1"/>
          </w:rPr>
          <w:t>goods/current-tariff-classification/schedule-11</w:t>
        </w:r>
      </w:hyperlink>
    </w:p>
    <w:p>
      <w:pPr>
        <w:pStyle w:val="BodyText"/>
        <w:spacing w:before="5"/>
        <w:rPr>
          <w:sz w:val="11"/>
        </w:rPr>
      </w:pPr>
    </w:p>
    <w:p>
      <w:pPr>
        <w:pStyle w:val="BodyText"/>
        <w:spacing w:before="95"/>
        <w:ind w:left="1133"/>
      </w:pPr>
      <w:r>
        <w:rPr/>
        <w:t>These rates of duty for tobacco products received Royal Assent on 27 July 2011.</w:t>
      </w:r>
    </w:p>
    <w:p>
      <w:pPr>
        <w:pStyle w:val="BodyText"/>
        <w:spacing w:before="1"/>
      </w:pPr>
    </w:p>
    <w:p>
      <w:pPr>
        <w:pStyle w:val="BodyText"/>
        <w:ind w:left="1133"/>
      </w:pPr>
      <w:r>
        <w:rPr>
          <w:u w:val="single"/>
        </w:rPr>
        <w:t>Column 1 Column 2</w:t>
      </w:r>
    </w:p>
    <w:p>
      <w:pPr>
        <w:pStyle w:val="BodyText"/>
        <w:spacing w:before="1"/>
        <w:ind w:left="1133" w:right="7500"/>
      </w:pPr>
      <w:r>
        <w:rPr/>
        <w:t>$0.97/L of tobacco content</w:t>
      </w:r>
    </w:p>
    <w:p>
      <w:pPr>
        <w:pStyle w:val="BodyText"/>
        <w:ind w:left="1133"/>
      </w:pPr>
      <w:r>
        <w:rPr/>
        <w:t>$1.01/L of tobacco content</w:t>
      </w:r>
    </w:p>
    <w:p>
      <w:pPr>
        <w:pStyle w:val="BodyText"/>
        <w:spacing w:before="1"/>
        <w:ind w:left="1133"/>
      </w:pPr>
      <w:r>
        <w:rPr/>
        <w:t xml:space="preserve">5 – </w:t>
      </w:r>
      <w:hyperlink r:id="rId8">
        <w:r>
          <w:rPr>
            <w:u w:val="single"/>
          </w:rPr>
          <w:t>trade.policy1@border.gov.au</w:t>
        </w:r>
      </w:hyperlink>
    </w:p>
    <w:p>
      <w:pPr>
        <w:pStyle w:val="BodyText"/>
      </w:pPr>
    </w:p>
    <w:p>
      <w:pPr>
        <w:pStyle w:val="BodyText"/>
      </w:pPr>
    </w:p>
    <w:p>
      <w:pPr>
        <w:pStyle w:val="BodyText"/>
      </w:pPr>
    </w:p>
    <w:p>
      <w:pPr>
        <w:pStyle w:val="BodyText"/>
        <w:spacing w:before="9"/>
        <w:rPr>
          <w:sz w:val="19"/>
        </w:rPr>
      </w:pPr>
    </w:p>
    <w:p>
      <w:pPr>
        <w:pStyle w:val="BodyText"/>
        <w:ind w:left="1133" w:right="9381"/>
      </w:pPr>
      <w:r>
        <w:rPr>
          <w:b w:val="0"/>
          <w:i w:val="0"/>
          <w:u w:val="none"/>
        </w:rPr>
        <w:t>5%, and $1.01/kg of tobacco content</w:t>
      </w:r>
      <w:r>
        <w:rPr>
          <w:spacing w:val="1"/>
        </w:rPr>
      </w:r>
      <w:r>
        <w:rPr>
          <w:spacing w:val="-4"/>
        </w:rPr>
      </w:r>
    </w:p>
    <w:p>
      <w:pPr>
        <w:pStyle w:val="BodyText"/>
        <w:spacing w:before="1"/>
        <w:ind w:left="1133"/>
      </w:pPr>
      <w:r>
        <w:rPr/>
        <w:t>$1.07/kg of tobacco content</w:t>
      </w:r>
    </w:p>
    <w:p>
      <w:pPr>
        <w:pStyle w:val="BodyText"/>
        <w:ind w:left="1133" w:right="6577"/>
      </w:pPr>
      <w:r>
        <w:rPr/>
        <w:t>5%, and $1.07/kg of tobacco content</w:t>
      </w:r>
    </w:p>
    <w:sectPr>
      <w:type w:val="continuous"/>
      <w:pgSz w:w="11910" w:h="16840"/>
      <w:pgMar w:top="0" w:bottom="280" w:left="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Arial-BoldItalicMT">
    <w:altName w:val="Arial-BoldItalicMT"/>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0"/>
      <w:numFmt w:val="bullet"/>
      <w:lvlText w:val="•"/>
      <w:lvlJc w:val="left"/>
      <w:pPr>
        <w:ind w:left="1983" w:hanging="423"/>
      </w:pPr>
      <w:rPr>
        <w:rFonts w:hint="default" w:ascii="Arial" w:hAnsi="Arial" w:eastAsia="Arial" w:cs="Arial"/>
        <w:w w:val="100"/>
        <w:sz w:val="20"/>
        <w:szCs w:val="20"/>
        <w:lang w:val="en-au" w:eastAsia="en-US" w:bidi="ar-SA"/>
      </w:rPr>
    </w:lvl>
    <w:lvl w:ilvl="1">
      <w:start w:val="0"/>
      <w:numFmt w:val="bullet"/>
      <w:lvlText w:val="•"/>
      <w:lvlJc w:val="left"/>
      <w:pPr>
        <w:ind w:left="2972" w:hanging="423"/>
      </w:pPr>
      <w:rPr>
        <w:rFonts w:hint="default"/>
        <w:lang w:val="en-au" w:eastAsia="en-US" w:bidi="ar-SA"/>
      </w:rPr>
    </w:lvl>
    <w:lvl w:ilvl="2">
      <w:start w:val="0"/>
      <w:numFmt w:val="bullet"/>
      <w:lvlText w:val="•"/>
      <w:lvlJc w:val="left"/>
      <w:pPr>
        <w:ind w:left="3964" w:hanging="423"/>
      </w:pPr>
      <w:rPr>
        <w:rFonts w:hint="default"/>
        <w:lang w:val="en-au" w:eastAsia="en-US" w:bidi="ar-SA"/>
      </w:rPr>
    </w:lvl>
    <w:lvl w:ilvl="3">
      <w:start w:val="0"/>
      <w:numFmt w:val="bullet"/>
      <w:lvlText w:val="•"/>
      <w:lvlJc w:val="left"/>
      <w:pPr>
        <w:ind w:left="4957" w:hanging="423"/>
      </w:pPr>
      <w:rPr>
        <w:rFonts w:hint="default"/>
        <w:lang w:val="en-au" w:eastAsia="en-US" w:bidi="ar-SA"/>
      </w:rPr>
    </w:lvl>
    <w:lvl w:ilvl="4">
      <w:start w:val="0"/>
      <w:numFmt w:val="bullet"/>
      <w:lvlText w:val="•"/>
      <w:lvlJc w:val="left"/>
      <w:pPr>
        <w:ind w:left="5949" w:hanging="423"/>
      </w:pPr>
      <w:rPr>
        <w:rFonts w:hint="default"/>
        <w:lang w:val="en-au" w:eastAsia="en-US" w:bidi="ar-SA"/>
      </w:rPr>
    </w:lvl>
    <w:lvl w:ilvl="5">
      <w:start w:val="0"/>
      <w:numFmt w:val="bullet"/>
      <w:lvlText w:val="•"/>
      <w:lvlJc w:val="left"/>
      <w:pPr>
        <w:ind w:left="6942" w:hanging="423"/>
      </w:pPr>
      <w:rPr>
        <w:rFonts w:hint="default"/>
        <w:lang w:val="en-au" w:eastAsia="en-US" w:bidi="ar-SA"/>
      </w:rPr>
    </w:lvl>
    <w:lvl w:ilvl="6">
      <w:start w:val="0"/>
      <w:numFmt w:val="bullet"/>
      <w:lvlText w:val="•"/>
      <w:lvlJc w:val="left"/>
      <w:pPr>
        <w:ind w:left="7934" w:hanging="423"/>
      </w:pPr>
      <w:rPr>
        <w:rFonts w:hint="default"/>
        <w:lang w:val="en-au" w:eastAsia="en-US" w:bidi="ar-SA"/>
      </w:rPr>
    </w:lvl>
    <w:lvl w:ilvl="7">
      <w:start w:val="0"/>
      <w:numFmt w:val="bullet"/>
      <w:lvlText w:val="•"/>
      <w:lvlJc w:val="left"/>
      <w:pPr>
        <w:ind w:left="8926" w:hanging="423"/>
      </w:pPr>
      <w:rPr>
        <w:rFonts w:hint="default"/>
        <w:lang w:val="en-au" w:eastAsia="en-US" w:bidi="ar-SA"/>
      </w:rPr>
    </w:lvl>
    <w:lvl w:ilvl="8">
      <w:start w:val="0"/>
      <w:numFmt w:val="bullet"/>
      <w:lvlText w:val="•"/>
      <w:lvlJc w:val="left"/>
      <w:pPr>
        <w:ind w:left="9919" w:hanging="423"/>
      </w:pPr>
      <w:rPr>
        <w:rFonts w:hint="default"/>
        <w:lang w:val="en-au" w:eastAsia="en-US" w:bidi="ar-S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au" w:eastAsia="en-US" w:bidi="ar-SA"/>
    </w:rPr>
  </w:style>
  <w:style w:styleId="BodyText" w:type="paragraph">
    <w:name w:val="Body Text"/>
    <w:basedOn w:val="Normal"/>
    <w:uiPriority w:val="1"/>
    <w:qFormat/>
    <w:pPr/>
    <w:rPr>
      <w:rFonts w:ascii="Arial" w:hAnsi="Arial" w:eastAsia="Arial" w:cs="Arial"/>
      <w:sz w:val="20"/>
      <w:szCs w:val="20"/>
      <w:lang w:val="en-au" w:eastAsia="en-US" w:bidi="ar-SA"/>
    </w:rPr>
  </w:style>
  <w:style w:styleId="Title" w:type="paragraph">
    <w:name w:val="Title"/>
    <w:basedOn w:val="Normal"/>
    <w:uiPriority w:val="1"/>
    <w:qFormat/>
    <w:pPr>
      <w:spacing w:before="82"/>
      <w:ind w:left="1133" w:right="1352"/>
    </w:pPr>
    <w:rPr>
      <w:rFonts w:ascii="Arial" w:hAnsi="Arial" w:eastAsia="Arial" w:cs="Arial"/>
      <w:b/>
      <w:bCs/>
      <w:sz w:val="52"/>
      <w:szCs w:val="52"/>
      <w:lang w:val="en-au" w:eastAsia="en-US" w:bidi="ar-SA"/>
    </w:rPr>
  </w:style>
  <w:style w:styleId="ListParagraph" w:type="paragraph">
    <w:name w:val="List Paragraph"/>
    <w:basedOn w:val="Normal"/>
    <w:uiPriority w:val="1"/>
    <w:qFormat/>
    <w:pPr>
      <w:ind w:left="1983" w:hanging="424"/>
    </w:pPr>
    <w:rPr>
      <w:rFonts w:ascii="Arial" w:hAnsi="Arial" w:eastAsia="Arial" w:cs="Arial"/>
      <w:lang w:val="en-au" w:eastAsia="en-US" w:bidi="ar-SA"/>
    </w:rPr>
  </w:style>
  <w:style w:styleId="TableParagraph" w:type="paragraph">
    <w:name w:val="Table Paragraph"/>
    <w:basedOn w:val="Normal"/>
    <w:uiPriority w:val="1"/>
    <w:qFormat/>
    <w:pPr/>
    <w:rPr>
      <w:lang w:val="en-au"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png"/><Relationship Id="rId7" Type="http://schemas.openxmlformats.org/officeDocument/2006/relationships/hyperlink" Target="http://www.homeaffairs.gov.au/Busi/cargo-support-trade-and-goods/importing-goods/tariff-classification-of-goods/current-tariff-classification/schedule-11" TargetMode="External"/><Relationship Id="rId8" Type="http://schemas.openxmlformats.org/officeDocument/2006/relationships/hyperlink" Target="mailto:trade.policy1@border.gov.au" TargetMode="External"/><Relationship Id="rId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7%, and $1.07/kg of tobacco content</dc:creator>
  <cp:keywords>NZ/PG/FI/DC/LDC/SG:$1.07/kg of tobacco content</cp:keywords>
  <dc:subject>9%, and $1.07/kg of tobacco content </dc:subject>
  <dc:title>10%, and $1.07/kg of tobacco content</dc:title>
  <dcterms:created xsi:type="dcterms:W3CDTF">2020-12-09T23:05:48Z</dcterms:created>
  <dcterms:modified xsi:type="dcterms:W3CDTF">2020-12-09T23:05:48Z</dcterms:modified>
  <cp:category/>
  <dc:description/>
  <cp:contentStatus/>
  <dc:identifier/>
  <dc:language/>
  <cp:lastModifiedBy/>
  <cp:version/>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2018-03-27T00:00:00Z</vt:filetime>
  </property>
  <property fmtid="{D5CDD505-2E9C-101B-9397-08002B2CF9AE}" pid="3" name="Creator">
    <vt:lpwstr>Microsoft® Word 2016</vt:lpwstr>
  </property>
  <property fmtid="{D5CDD505-2E9C-101B-9397-08002B2CF9AE}" pid="4" name="LastSaved">
    <vt:filetime>2020-12-09T00:00:00Z</vt:filetime>
  </property>
</Properties>
</file>