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92334pt;width:594.85pt;height:115.95pt;mso-position-horizontal-relative:page;mso-position-vertical-relative:paragraph;z-index:15729152" coordorigin="0,-3038" coordsize="11897,2319">
            <v:shape style="position:absolute;left:0;top:-3038;width:11897;height:2319" type="#_x0000_t75" stroked="false">
              <v:imagedata r:id="rId6" o:title=""/>
            </v:shape>
            <v:shape style="position:absolute;left:679;top:-2361;width:1368;height:1013" type="#_x0000_t75" stroked="false">
              <v:imagedata r:id="rId7" o:title=""/>
            </v:shape>
            <v:line style="position:absolute" from="2173,-1723" to="5096,-1723" stroked="true" strokeweight=".74925pt" strokecolor="#ffffff">
              <v:stroke dashstyle="solid"/>
            </v:line>
            <v:shape style="position:absolute;left:0;top:-3038;width:11897;height:2319"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5"/>
                      </w:rPr>
                    </w:pPr>
                  </w:p>
                  <w:p>
                    <w:pPr>
                      <w:spacing w:line="372" w:lineRule="auto" w:before="0"/>
                      <w:ind w:left="2157" w:right="6055"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4"/>
                        <w:sz w:val="26"/>
                      </w:rPr>
                      <w:t>of </w:t>
                    </w:r>
                    <w:r>
                      <w:rPr>
                        <w:rFonts w:ascii="Times New Roman"/>
                        <w:b/>
                        <w:color w:val="FFFFFF"/>
                        <w:spacing w:val="-9"/>
                        <w:sz w:val="26"/>
                      </w:rPr>
                      <w:t>Home </w:t>
                    </w:r>
                    <w:r>
                      <w:rPr>
                        <w:rFonts w:ascii="Times New Roman"/>
                        <w:b/>
                        <w:color w:val="FFFFFF"/>
                        <w:spacing w:val="-8"/>
                        <w:sz w:val="26"/>
                      </w:rPr>
                      <w:t>Affairs</w:t>
                    </w:r>
                  </w:p>
                </w:txbxContent>
              </v:textbox>
              <w10:wrap type="none"/>
            </v:shape>
            <w10:wrap type="none"/>
          </v:group>
        </w:pict>
      </w:r>
      <w:r>
        <w:rPr>
          <w:color w:val="034DA1"/>
        </w:rPr>
        <w:t>AUSTRALIA N CUSTO M S NOTIC E NO. 2007/4 9</w:t>
      </w:r>
    </w:p>
    <w:p>
      <w:pPr>
        <w:pStyle w:val="BodyText"/>
        <w:spacing w:before="8"/>
        <w:rPr>
          <w:b/>
          <w:sz w:val="19"/>
        </w:rPr>
      </w:pPr>
      <w:r>
        <w:rPr/>
        <w:pict>
          <v:rect style="position:absolute;margin-left:56.639999pt;margin-top:13.323377pt;width:481.920015pt;height:.480011pt;mso-position-horizontal-relative:page;mso-position-vertical-relative:paragraph;z-index:-15728640;mso-wrap-distance-left:0;mso-wrap-distance-right:0" filled="true" fillcolor="#034da1" stroked="false">
            <v:fill type="solid"/>
            <w10:wrap type="topAndBottom"/>
          </v:rect>
        </w:pict>
      </w:r>
    </w:p>
    <w:p>
      <w:pPr>
        <w:pStyle w:val="BodyText"/>
        <w:spacing w:before="8"/>
        <w:rPr>
          <w:b/>
          <w:sz w:val="6"/>
        </w:rPr>
      </w:pPr>
    </w:p>
    <w:p>
      <w:pPr>
        <w:spacing w:before="92"/>
        <w:ind w:left="1920" w:right="1920" w:firstLine="0"/>
        <w:jc w:val="center"/>
        <w:rPr>
          <w:b/>
          <w:sz w:val="28"/>
        </w:rPr>
      </w:pPr>
      <w:r>
        <w:rPr>
          <w:b/>
          <w:sz w:val="28"/>
        </w:rPr>
        <w:t>Application for customs broker's licence</w:t>
      </w:r>
    </w:p>
    <w:p>
      <w:pPr>
        <w:pStyle w:val="BodyText"/>
        <w:rPr>
          <w:b/>
          <w:sz w:val="30"/>
        </w:rPr>
      </w:pPr>
    </w:p>
    <w:p>
      <w:pPr>
        <w:pStyle w:val="BodyText"/>
        <w:spacing w:before="7"/>
        <w:rPr>
          <w:b/>
          <w:sz w:val="28"/>
        </w:rPr>
      </w:pPr>
    </w:p>
    <w:p>
      <w:pPr>
        <w:pStyle w:val="BodyText"/>
        <w:spacing w:line="266" w:lineRule="auto" w:before="1"/>
        <w:ind w:left="1132" w:right="1620"/>
      </w:pPr>
      <w:r>
        <w:rPr/>
        <w:t>The following persons have applied to the Chief Executive Officer for a customs broker's licence.</w:t>
      </w:r>
    </w:p>
    <w:p>
      <w:pPr>
        <w:pStyle w:val="BodyText"/>
        <w:spacing w:line="264" w:lineRule="auto" w:before="115"/>
        <w:ind w:left="1132" w:right="1163"/>
      </w:pPr>
      <w:r>
        <w:rPr/>
        <w:pict>
          <v:rect style="position:absolute;margin-left:129.960007pt;margin-top:41.409874pt;width:140.639992pt;height:1.080002pt;mso-position-horizontal-relative:page;mso-position-vertical-relative:paragraph;z-index:-15801344" filled="true" fillcolor="#000000" stroked="false">
            <v:fill type="solid"/>
            <w10:wrap type="none"/>
          </v:rect>
        </w:pict>
      </w:r>
      <w:r>
        <w:rPr>
          <w:b w:val="0"/>
          <w:i w:val="0"/>
          <w:u w:val="none"/>
        </w:rPr>
        <w:t>Any person wishing to make written representation in respect of these applications should address the correspondence by Monday 14 February 2007 to:</w:t>
      </w:r>
      <w:r>
        <w:rPr>
          <w:b/>
        </w:rPr>
      </w:r>
      <w:r>
        <w:rPr/>
      </w:r>
    </w:p>
    <w:p>
      <w:pPr>
        <w:pStyle w:val="BodyText"/>
        <w:spacing w:before="122"/>
        <w:ind w:left="1132" w:right="1163"/>
      </w:pPr>
      <w:r>
        <w:rPr>
          <w:b w:val="0"/>
          <w:i w:val="0"/>
          <w:u w:val="none"/>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r>
        <w:rPr>
          <w:i/>
        </w:rPr>
      </w:r>
      <w:r>
        <w:rPr/>
      </w:r>
    </w:p>
    <w:p>
      <w:pPr>
        <w:pStyle w:val="BodyText"/>
        <w:spacing w:before="10"/>
        <w:rPr>
          <w:sz w:val="19"/>
        </w:rPr>
      </w:pPr>
    </w:p>
    <w:p>
      <w:pPr>
        <w:pStyle w:val="BodyText"/>
        <w:ind w:left="1132" w:right="1441"/>
      </w:pPr>
      <w:r>
        <w:rPr>
          <w:b w:val="0"/>
          <w:i w:val="0"/>
          <w:u w:val="none"/>
        </w:rPr>
        <w:t>Applicants will not be provided with a copy of the communication and details of its author unless Customs is authorised by the author to fully disclose the representation.</w:t>
      </w:r>
      <w:r>
        <w:rPr>
          <w:i/>
        </w:rPr>
      </w:r>
      <w:r>
        <w:rPr/>
      </w:r>
      <w:r>
        <w:rPr>
          <w:b/>
        </w:rPr>
      </w:r>
      <w:r>
        <w:rPr/>
      </w:r>
    </w:p>
    <w:p>
      <w:pPr>
        <w:pStyle w:val="BodyText"/>
        <w:spacing w:before="1"/>
      </w:pPr>
    </w:p>
    <w:p>
      <w:pPr>
        <w:pStyle w:val="ListParagraph"/>
        <w:numPr>
          <w:ilvl w:val="0"/>
          <w:numId w:val="1"/>
        </w:numPr>
        <w:tabs>
          <w:tab w:pos="1851" w:val="left" w:leader="none"/>
          <w:tab w:pos="1852" w:val="left" w:leader="none"/>
        </w:tabs>
        <w:spacing w:line="240" w:lineRule="auto" w:before="0" w:after="0"/>
        <w:ind w:left="1851" w:right="0" w:hanging="720"/>
        <w:jc w:val="left"/>
        <w:rPr>
          <w:sz w:val="20"/>
        </w:rPr>
      </w:pPr>
      <w:r>
        <w:rPr>
          <w:b w:val="0"/>
          <w:i w:val="0"/>
          <w:sz w:val="20"/>
          <w:u w:val="none"/>
        </w:rPr>
        <w:t>Kim Marshall Director</w:t>
      </w:r>
      <w:r>
        <w:rPr>
          <w:spacing w:val="-2"/>
          <w:sz w:val="20"/>
        </w:rPr>
      </w:r>
      <w:r>
        <w:rPr>
          <w:sz w:val="20"/>
        </w:rPr>
      </w:r>
    </w:p>
    <w:p>
      <w:pPr>
        <w:pStyle w:val="ListParagraph"/>
        <w:numPr>
          <w:ilvl w:val="0"/>
          <w:numId w:val="1"/>
        </w:numPr>
        <w:tabs>
          <w:tab w:pos="1851" w:val="left" w:leader="none"/>
          <w:tab w:pos="1852" w:val="left" w:leader="none"/>
        </w:tabs>
        <w:spacing w:line="240" w:lineRule="auto" w:before="1" w:after="0"/>
        <w:ind w:left="1852" w:right="1235" w:hanging="720"/>
        <w:jc w:val="left"/>
        <w:rPr>
          <w:sz w:val="20"/>
        </w:rPr>
      </w:pPr>
      <w:r>
        <w:rPr>
          <w:b w:val="0"/>
          <w:i w:val="0"/>
          <w:sz w:val="20"/>
          <w:u w:val="none"/>
        </w:rPr>
        <w:t>International Trade Services Section, Compliance Assurance Branch for</w:t>
      </w:r>
      <w:r>
        <w:rPr>
          <w:spacing w:val="-7"/>
          <w:sz w:val="20"/>
        </w:rPr>
      </w:r>
      <w:r>
        <w:rPr>
          <w:sz w:val="20"/>
        </w:rPr>
      </w:r>
    </w:p>
    <w:p>
      <w:pPr>
        <w:pStyle w:val="BodyText"/>
        <w:rPr>
          <w:sz w:val="22"/>
        </w:rPr>
      </w:pPr>
    </w:p>
    <w:p>
      <w:pPr>
        <w:pStyle w:val="BodyText"/>
        <w:spacing w:before="7"/>
      </w:pPr>
    </w:p>
    <w:p>
      <w:pPr>
        <w:pStyle w:val="BodyText"/>
        <w:ind w:left="1132"/>
      </w:pPr>
      <w:r>
        <w:rPr/>
        <w:t>Chief Executive Officer</w:t>
      </w:r>
    </w:p>
    <w:p>
      <w:pPr>
        <w:pStyle w:val="BodyText"/>
        <w:rPr>
          <w:sz w:val="22"/>
        </w:rPr>
      </w:pPr>
    </w:p>
    <w:p>
      <w:pPr>
        <w:pStyle w:val="BodyText"/>
        <w:spacing w:before="2"/>
        <w:rPr>
          <w:sz w:val="24"/>
        </w:rPr>
      </w:pPr>
    </w:p>
    <w:p>
      <w:pPr>
        <w:pStyle w:val="ListParagraph"/>
        <w:numPr>
          <w:ilvl w:val="0"/>
          <w:numId w:val="2"/>
        </w:numPr>
        <w:tabs>
          <w:tab w:pos="1853" w:val="left" w:leader="none"/>
          <w:tab w:pos="1854" w:val="left" w:leader="none"/>
        </w:tabs>
        <w:spacing w:line="240" w:lineRule="auto" w:before="0" w:after="0"/>
        <w:ind w:left="1852" w:right="1359" w:hanging="720"/>
        <w:jc w:val="left"/>
        <w:rPr>
          <w:b/>
          <w:sz w:val="20"/>
        </w:rPr>
      </w:pPr>
      <w:r>
        <w:rPr/>
        <w:pict>
          <v:rect style="position:absolute;margin-left:269.880005pt;margin-top:21.979874pt;width:58.440011pt;height:1.080001pt;mso-position-horizontal-relative:page;mso-position-vertical-relative:paragraph;z-index:15730176" filled="true" fillcolor="#000000" stroked="false">
            <v:fill type="solid"/>
            <w10:wrap type="none"/>
          </v:rect>
        </w:pict>
      </w:r>
      <w:r>
        <w:rPr>
          <w:b w:val="0"/>
          <w:i w:val="0"/>
          <w:sz w:val="20"/>
          <w:u w:val="none"/>
        </w:rPr>
        <w:t>February 2009</w:t>
      </w:r>
      <w:r>
        <w:rPr>
          <w:b/>
          <w:sz w:val="20"/>
        </w:rPr>
      </w:r>
      <w:r>
        <w:rPr>
          <w:b/>
          <w:spacing w:val="-7"/>
          <w:sz w:val="20"/>
        </w:rPr>
      </w:r>
      <w:r>
        <w:rPr>
          <w:b/>
          <w:sz w:val="20"/>
        </w:rPr>
      </w:r>
    </w:p>
    <w:p>
      <w:pPr>
        <w:pStyle w:val="BodyText"/>
        <w:rPr>
          <w:b/>
        </w:rPr>
      </w:pPr>
    </w:p>
    <w:p>
      <w:pPr>
        <w:pStyle w:val="BodyText"/>
        <w:rPr>
          <w:b/>
          <w:sz w:val="24"/>
        </w:rPr>
      </w:pPr>
    </w:p>
    <w:p>
      <w:pPr>
        <w:pStyle w:val="ListParagraph"/>
        <w:numPr>
          <w:ilvl w:val="0"/>
          <w:numId w:val="2"/>
        </w:numPr>
        <w:tabs>
          <w:tab w:pos="1853" w:val="left" w:leader="none"/>
          <w:tab w:pos="1854" w:val="left" w:leader="none"/>
        </w:tabs>
        <w:spacing w:line="240" w:lineRule="auto" w:before="0" w:after="0"/>
        <w:ind w:left="1853" w:right="0" w:hanging="722"/>
        <w:jc w:val="left"/>
        <w:rPr>
          <w:sz w:val="20"/>
        </w:rPr>
      </w:pPr>
      <w:r>
        <w:rPr>
          <w:b w:val="0"/>
          <w:i w:val="0"/>
          <w:sz w:val="20"/>
          <w:u w:val="none"/>
        </w:rPr>
        <w:t>INDEXING DETAIL OF PROPOSED CHANGES TO PROCESSING WORKERS FAMILY BENEFITS</w:t>
      </w:r>
      <w:r>
        <w:rPr>
          <w:spacing w:val="-7"/>
          <w:sz w:val="20"/>
        </w:rPr>
      </w:r>
      <w:r>
        <w:rPr>
          <w:sz w:val="20"/>
        </w:rPr>
      </w:r>
    </w:p>
    <w:p>
      <w:pPr>
        <w:pStyle w:val="BodyText"/>
        <w:rPr>
          <w:sz w:val="24"/>
        </w:rPr>
      </w:pPr>
    </w:p>
    <w:p>
      <w:pPr>
        <w:pStyle w:val="BodyText"/>
        <w:spacing w:before="9"/>
        <w:rPr>
          <w:sz w:val="18"/>
        </w:rPr>
      </w:pPr>
    </w:p>
    <w:p>
      <w:pPr>
        <w:pStyle w:val="ListParagraph"/>
        <w:numPr>
          <w:ilvl w:val="1"/>
          <w:numId w:val="1"/>
        </w:numPr>
        <w:tabs>
          <w:tab w:pos="1854" w:val="left" w:leader="none"/>
        </w:tabs>
        <w:spacing w:line="240" w:lineRule="auto" w:before="0" w:after="0"/>
        <w:ind w:left="1853" w:right="0" w:hanging="362"/>
        <w:jc w:val="left"/>
        <w:rPr>
          <w:b/>
          <w:sz w:val="20"/>
        </w:rPr>
      </w:pPr>
      <w:r>
        <w:rPr>
          <w:b w:val="0"/>
          <w:i w:val="0"/>
          <w:sz w:val="20"/>
          <w:u w:val="none"/>
        </w:rPr>
        <w:t>To support the Government's commitment to the</w:t>
      </w:r>
      <w:r>
        <w:rPr>
          <w:spacing w:val="-8"/>
          <w:sz w:val="20"/>
        </w:rPr>
      </w:r>
      <w:r>
        <w:rPr>
          <w:b/>
          <w:sz w:val="20"/>
        </w:rPr>
      </w:r>
    </w:p>
    <w:p>
      <w:pPr>
        <w:pStyle w:val="ListParagraph"/>
        <w:numPr>
          <w:ilvl w:val="1"/>
          <w:numId w:val="1"/>
        </w:numPr>
        <w:tabs>
          <w:tab w:pos="1854" w:val="left" w:leader="none"/>
        </w:tabs>
        <w:spacing w:line="240" w:lineRule="auto" w:before="0" w:after="0"/>
        <w:ind w:left="1853" w:right="0" w:hanging="362"/>
        <w:jc w:val="left"/>
        <w:rPr>
          <w:sz w:val="20"/>
        </w:rPr>
      </w:pPr>
      <w:r>
        <w:rPr>
          <w:b w:val="0"/>
          <w:i w:val="0"/>
          <w:sz w:val="20"/>
          <w:u w:val="none"/>
        </w:rPr>
        <w:t>Industry and to provide additional support to Industry in the</w:t>
      </w:r>
      <w:r>
        <w:rPr>
          <w:spacing w:val="-20"/>
          <w:sz w:val="20"/>
        </w:rPr>
      </w:r>
      <w:r>
        <w:rPr>
          <w:sz w:val="20"/>
        </w:rPr>
      </w:r>
    </w:p>
    <w:p>
      <w:pPr>
        <w:pStyle w:val="BodyText"/>
        <w:spacing w:before="4"/>
        <w:rPr>
          <w:sz w:val="30"/>
        </w:rPr>
      </w:pPr>
    </w:p>
    <w:p>
      <w:pPr>
        <w:pStyle w:val="BodyText"/>
        <w:spacing w:line="266" w:lineRule="auto"/>
        <w:ind w:left="1416" w:right="1654"/>
      </w:pPr>
      <w:r>
        <w:rPr/>
        <w:t>protection of workers, the Government is setting out its response to the changes outlined below.</w:t>
      </w:r>
    </w:p>
    <w:p>
      <w:pPr>
        <w:spacing w:after="0" w:line="266" w:lineRule="auto"/>
        <w:sectPr>
          <w:footerReference w:type="default" r:id="rId5"/>
          <w:type w:val="continuous"/>
          <w:pgSz w:w="11910" w:h="16840"/>
          <w:pgMar w:footer="452" w:top="0" w:bottom="640" w:left="0" w:right="0"/>
          <w:pgNumType w:start="1"/>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pStyle w:val="ListParagraph"/>
        <w:numPr>
          <w:ilvl w:val="0"/>
          <w:numId w:val="2"/>
        </w:numPr>
        <w:tabs>
          <w:tab w:pos="1853" w:val="left" w:leader="none"/>
          <w:tab w:pos="1854" w:val="left" w:leader="none"/>
        </w:tabs>
        <w:spacing w:line="240" w:lineRule="auto" w:before="1" w:after="0"/>
        <w:ind w:left="1852" w:right="1132" w:hanging="720"/>
        <w:jc w:val="left"/>
        <w:rPr>
          <w:sz w:val="20"/>
        </w:rPr>
      </w:pPr>
      <w:r>
        <w:rPr/>
        <w:drawing>
          <wp:anchor distT="0" distB="0" distL="0" distR="0" allowOverlap="1" layoutInCell="1" locked="0" behindDoc="0" simplePos="0" relativeHeight="15730688">
            <wp:simplePos x="0" y="0"/>
            <wp:positionH relativeFrom="page">
              <wp:posOffset>0</wp:posOffset>
            </wp:positionH>
            <wp:positionV relativeFrom="paragraph">
              <wp:posOffset>-1064388</wp:posOffset>
            </wp:positionV>
            <wp:extent cx="7552944" cy="55016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7552944" cy="550163"/>
                    </a:xfrm>
                    <a:prstGeom prst="rect">
                      <a:avLst/>
                    </a:prstGeom>
                  </pic:spPr>
                </pic:pic>
              </a:graphicData>
            </a:graphic>
          </wp:anchor>
        </w:drawing>
      </w:r>
      <w:r>
        <w:rPr>
          <w:b w:val="0"/>
          <w:i w:val="0"/>
          <w:sz w:val="20"/>
          <w:u w:val="none"/>
        </w:rPr>
        <w:t>An Industry consultation group chaired by the CEO of Customs has completed a comprehensive evaluation of the changes to ensure that the changes apply consistent with the</w:t>
      </w:r>
      <w:r>
        <w:rPr>
          <w:spacing w:val="2"/>
          <w:sz w:val="20"/>
        </w:rPr>
      </w:r>
      <w:r>
        <w:rPr>
          <w:sz w:val="20"/>
        </w:rPr>
      </w:r>
    </w:p>
    <w:p>
      <w:pPr>
        <w:pStyle w:val="BodyText"/>
        <w:rPr>
          <w:sz w:val="22"/>
        </w:rPr>
      </w:pPr>
    </w:p>
    <w:p>
      <w:pPr>
        <w:pStyle w:val="BodyText"/>
        <w:spacing w:before="6"/>
      </w:pPr>
    </w:p>
    <w:p>
      <w:pPr>
        <w:pStyle w:val="BodyText"/>
        <w:spacing w:line="266" w:lineRule="auto"/>
        <w:ind w:left="1132" w:right="1397"/>
      </w:pPr>
      <w:r>
        <w:rPr/>
        <w:t>Principles of procedural fairness in respect of information that is potentially adverse to the applicant. The evaluation identified deficiencies in the nature and level of detail of some aspects of the legislative and administrative proposals.</w:t>
      </w:r>
    </w:p>
    <w:p>
      <w:pPr>
        <w:pStyle w:val="BodyText"/>
        <w:rPr>
          <w:sz w:val="22"/>
        </w:rPr>
      </w:pPr>
    </w:p>
    <w:p>
      <w:pPr>
        <w:pStyle w:val="BodyText"/>
        <w:spacing w:before="5"/>
      </w:pPr>
    </w:p>
    <w:p>
      <w:pPr>
        <w:spacing w:line="264" w:lineRule="auto" w:before="0"/>
        <w:ind w:left="1132" w:right="1587" w:firstLine="0"/>
        <w:jc w:val="left"/>
        <w:rPr>
          <w:sz w:val="20"/>
        </w:rPr>
      </w:pPr>
      <w:r>
        <w:rPr>
          <w:b w:val="0"/>
          <w:i w:val="0"/>
          <w:sz w:val="20"/>
          <w:u w:val="none"/>
        </w:rPr>
        <w:t>This will allow the Government and Industry to understand their views and ensure that any proposed changes to the processes of collecting and processing work and benefit entitlements are consistent with those principles.</w:t>
      </w:r>
      <w:r>
        <w:rPr>
          <w:i/>
          <w:sz w:val="20"/>
        </w:rPr>
      </w:r>
      <w:r>
        <w:rPr>
          <w:sz w:val="20"/>
        </w:rPr>
      </w:r>
    </w:p>
    <w:p>
      <w:pPr>
        <w:pStyle w:val="BodyText"/>
        <w:rPr>
          <w:sz w:val="22"/>
        </w:rPr>
      </w:pPr>
    </w:p>
    <w:p>
      <w:pPr>
        <w:pStyle w:val="BodyText"/>
        <w:rPr>
          <w:sz w:val="21"/>
        </w:rPr>
      </w:pPr>
    </w:p>
    <w:p>
      <w:pPr>
        <w:pStyle w:val="BodyText"/>
        <w:spacing w:line="264" w:lineRule="auto" w:before="1"/>
        <w:ind w:left="1132" w:right="1386"/>
      </w:pPr>
      <w:r>
        <w:rPr/>
        <w:t>The changes to existing Work and Tax Credit Administration (WTA) processes will have a material impact on the way Australian firms and workers are currently entitled to WTA’s and will take account of a range of different circumstances, including:</w:t>
      </w:r>
    </w:p>
    <w:p>
      <w:pPr>
        <w:pStyle w:val="BodyText"/>
        <w:rPr>
          <w:sz w:val="22"/>
        </w:rPr>
      </w:pPr>
    </w:p>
    <w:p>
      <w:pPr>
        <w:pStyle w:val="BodyText"/>
        <w:spacing w:before="10"/>
      </w:pPr>
    </w:p>
    <w:p>
      <w:pPr>
        <w:pStyle w:val="BodyText"/>
        <w:spacing w:line="364" w:lineRule="auto"/>
        <w:ind w:left="1852" w:right="5580"/>
      </w:pPr>
      <w:r>
        <w:rPr/>
        <w:t>the application of the Industrial Policy Framework (IPF) to companies, particularly large and complex enterprises; and</w:t>
      </w:r>
    </w:p>
    <w:p>
      <w:pPr>
        <w:pStyle w:val="BodyText"/>
        <w:spacing w:line="364" w:lineRule="auto" w:before="2"/>
        <w:ind w:left="1852" w:right="7559"/>
      </w:pPr>
      <w:r>
        <w:rPr/>
        <w:t>the establishment of a specific “substitute ” payment scheme.</w:t>
      </w:r>
    </w:p>
    <w:p>
      <w:pPr>
        <w:pStyle w:val="BodyText"/>
        <w:spacing w:before="2"/>
        <w:ind w:left="1852"/>
      </w:pPr>
      <w:r>
        <w:rPr/>
        <w:t>The review</w:t>
      </w:r>
    </w:p>
    <w:p>
      <w:pPr>
        <w:pStyle w:val="BodyText"/>
        <w:rPr>
          <w:sz w:val="22"/>
        </w:rPr>
      </w:pPr>
    </w:p>
    <w:p>
      <w:pPr>
        <w:pStyle w:val="BodyText"/>
        <w:spacing w:before="7"/>
      </w:pPr>
    </w:p>
    <w:p>
      <w:pPr>
        <w:pStyle w:val="BodyText"/>
        <w:ind w:left="1132"/>
      </w:pPr>
      <w:r>
        <w:rPr/>
        <w:t xml:space="preserve">of the WTA was undertaken to help Customs identify and resolve issues and weaknesses in the existing WTA system. </w:t>
      </w:r>
      <w:hyperlink r:id="rId9">
        <w:r>
          <w:rPr>
            <w:u w:val="single"/>
          </w:rPr>
          <w:t>tarcon@abf.gov.au</w:t>
        </w:r>
        <w:r>
          <w:rPr/>
          <w:t>.</w:t>
        </w:r>
      </w:hyperlink>
    </w:p>
    <w:p>
      <w:pPr>
        <w:pStyle w:val="BodyText"/>
      </w:pPr>
    </w:p>
    <w:p>
      <w:pPr>
        <w:pStyle w:val="BodyText"/>
        <w:spacing w:before="9"/>
        <w:rPr>
          <w:sz w:val="16"/>
        </w:rPr>
      </w:pPr>
    </w:p>
    <w:p>
      <w:pPr>
        <w:pStyle w:val="BodyText"/>
        <w:spacing w:line="264" w:lineRule="auto" w:before="93"/>
        <w:ind w:left="1132" w:right="1163"/>
      </w:pPr>
      <w:r>
        <w:rPr>
          <w:b w:val="0"/>
          <w:i w:val="0"/>
          <w:u w:val="none"/>
        </w:rPr>
        <w:t>In February 2009, the government will make an interim statement in relation to the Work and Tax Credit Administration (WTA) to address an urgent need to address some of the deficiencies identified.</w:t>
      </w:r>
      <w:r>
        <w:rPr>
          <w:color w:val="034DA1"/>
          <w:u w:val="single" w:color="034DA1"/>
        </w:rPr>
      </w:r>
      <w:hyperlink r:id="rId10">
        <w:r>
          <w:rPr>
            <w:color w:val="034DA1"/>
            <w:u w:val="single" w:color="034DA1"/>
          </w:rPr>
          <w:t>www.homeaffairs.gov.au/Forms/Documents/b235.pdf#search=b235</w:t>
        </w:r>
        <w:r>
          <w:rPr>
            <w:color w:val="034DA1"/>
          </w:rPr>
          <w:t>.</w:t>
        </w:r>
      </w:hyperlink>
    </w:p>
    <w:p>
      <w:pPr>
        <w:pStyle w:val="BodyText"/>
      </w:pPr>
    </w:p>
    <w:p>
      <w:pPr>
        <w:pStyle w:val="BodyText"/>
        <w:spacing w:before="9"/>
        <w:rPr>
          <w:sz w:val="22"/>
        </w:rPr>
      </w:pPr>
    </w:p>
    <w:p>
      <w:pPr>
        <w:pStyle w:val="BodyText"/>
        <w:spacing w:line="264" w:lineRule="auto"/>
        <w:ind w:left="1132" w:right="1330"/>
      </w:pPr>
      <w:r>
        <w:rPr/>
        <w:t>The CEO has the power, in consultation with industry, to adopt a modified version of the proposed changes after a period of two years.</w:t>
      </w:r>
    </w:p>
    <w:p>
      <w:pPr>
        <w:pStyle w:val="BodyText"/>
        <w:rPr>
          <w:sz w:val="22"/>
        </w:rPr>
      </w:pPr>
    </w:p>
    <w:p>
      <w:pPr>
        <w:pStyle w:val="BodyText"/>
        <w:spacing w:before="10"/>
      </w:pPr>
    </w:p>
    <w:p>
      <w:pPr>
        <w:pStyle w:val="BodyText"/>
        <w:spacing w:line="264" w:lineRule="auto" w:before="1"/>
        <w:ind w:left="1132" w:right="2009"/>
      </w:pPr>
      <w:r>
        <w:rPr/>
        <w:t xml:space="preserve">A detailed evaluation is now completed and the decision is expected to be made at the fourth review in 2012. </w:t>
      </w:r>
      <w:hyperlink r:id="rId9">
        <w:r>
          <w:rPr>
            <w:u w:val="single"/>
          </w:rPr>
          <w:t>tarcon@abf.gov.au</w:t>
        </w:r>
        <w:r>
          <w:rPr/>
          <w:t>.</w:t>
        </w:r>
      </w:hyperlink>
    </w:p>
    <w:p>
      <w:pPr>
        <w:pStyle w:val="BodyText"/>
      </w:pPr>
    </w:p>
    <w:p>
      <w:pPr>
        <w:pStyle w:val="BodyText"/>
      </w:pPr>
    </w:p>
    <w:p>
      <w:pPr>
        <w:pStyle w:val="BodyText"/>
      </w:pPr>
    </w:p>
    <w:p>
      <w:pPr>
        <w:pStyle w:val="BodyText"/>
      </w:pPr>
    </w:p>
    <w:p>
      <w:pPr>
        <w:pStyle w:val="BodyText"/>
        <w:spacing w:before="7"/>
        <w:rPr>
          <w:sz w:val="19"/>
        </w:rPr>
      </w:pPr>
    </w:p>
    <w:p>
      <w:pPr>
        <w:pStyle w:val="BodyText"/>
        <w:spacing w:line="266" w:lineRule="auto" w:before="93"/>
        <w:ind w:left="1132" w:right="9352"/>
      </w:pPr>
      <w:r>
        <w:rPr>
          <w:b w:val="0"/>
          <w:i w:val="0"/>
          <w:u w:val="none"/>
        </w:rPr>
        <w:t>The changes proposed are:</w:t>
      </w:r>
      <w:r>
        <w:rPr>
          <w:spacing w:val="-18"/>
        </w:rPr>
      </w:r>
      <w:r>
        <w:rPr/>
      </w:r>
    </w:p>
    <w:p>
      <w:pPr>
        <w:pStyle w:val="BodyText"/>
        <w:spacing w:line="264" w:lineRule="auto"/>
        <w:ind w:left="1132" w:right="7645"/>
      </w:pPr>
      <w:r>
        <w:rPr>
          <w:b w:val="0"/>
          <w:i w:val="0"/>
          <w:u w:val="none"/>
        </w:rPr>
        <w:t>Increase the number of different kinds of Working Tax Credit Accounts to four;</w:t>
      </w:r>
      <w:r>
        <w:rPr>
          <w:spacing w:val="-3"/>
        </w:rPr>
      </w:r>
      <w:r>
        <w:rPr/>
      </w:r>
    </w:p>
    <w:p>
      <w:pPr>
        <w:pStyle w:val="BodyText"/>
        <w:ind w:left="1132"/>
      </w:pPr>
      <w:r>
        <w:rPr/>
        <w:t>Increase the range of levels of Working Tax Credit Charges applied to goods;</w:t>
      </w:r>
    </w:p>
    <w:sectPr>
      <w:pgSz w:w="11910" w:h="16840"/>
      <w:pgMar w:header="0" w:footer="452" w:top="0" w:bottom="6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96.640015pt;margin-top:808.32135pt;width:46.1pt;height:11pt;mso-position-horizontal-relative:page;mso-position-vertical-relative:page;z-index:-1580236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52" w:hanging="721"/>
      </w:pPr>
      <w:rPr>
        <w:rFonts w:hint="default" w:ascii="Times New Roman" w:hAnsi="Times New Roman" w:eastAsia="Times New Roman" w:cs="Times New Roman"/>
        <w:w w:val="130"/>
        <w:sz w:val="20"/>
        <w:szCs w:val="20"/>
      </w:rPr>
    </w:lvl>
    <w:lvl w:ilvl="1">
      <w:start w:val="0"/>
      <w:numFmt w:val="bullet"/>
      <w:lvlText w:val="•"/>
      <w:lvlJc w:val="left"/>
      <w:pPr>
        <w:ind w:left="2864" w:hanging="721"/>
      </w:pPr>
      <w:rPr>
        <w:rFonts w:hint="default"/>
      </w:rPr>
    </w:lvl>
    <w:lvl w:ilvl="2">
      <w:start w:val="0"/>
      <w:numFmt w:val="bullet"/>
      <w:lvlText w:val="•"/>
      <w:lvlJc w:val="left"/>
      <w:pPr>
        <w:ind w:left="3869" w:hanging="721"/>
      </w:pPr>
      <w:rPr>
        <w:rFonts w:hint="default"/>
      </w:rPr>
    </w:lvl>
    <w:lvl w:ilvl="3">
      <w:start w:val="0"/>
      <w:numFmt w:val="bullet"/>
      <w:lvlText w:val="•"/>
      <w:lvlJc w:val="left"/>
      <w:pPr>
        <w:ind w:left="4873" w:hanging="721"/>
      </w:pPr>
      <w:rPr>
        <w:rFonts w:hint="default"/>
      </w:rPr>
    </w:lvl>
    <w:lvl w:ilvl="4">
      <w:start w:val="0"/>
      <w:numFmt w:val="bullet"/>
      <w:lvlText w:val="•"/>
      <w:lvlJc w:val="left"/>
      <w:pPr>
        <w:ind w:left="5878" w:hanging="721"/>
      </w:pPr>
      <w:rPr>
        <w:rFonts w:hint="default"/>
      </w:rPr>
    </w:lvl>
    <w:lvl w:ilvl="5">
      <w:start w:val="0"/>
      <w:numFmt w:val="bullet"/>
      <w:lvlText w:val="•"/>
      <w:lvlJc w:val="left"/>
      <w:pPr>
        <w:ind w:left="6883" w:hanging="721"/>
      </w:pPr>
      <w:rPr>
        <w:rFonts w:hint="default"/>
      </w:rPr>
    </w:lvl>
    <w:lvl w:ilvl="6">
      <w:start w:val="0"/>
      <w:numFmt w:val="bullet"/>
      <w:lvlText w:val="•"/>
      <w:lvlJc w:val="left"/>
      <w:pPr>
        <w:ind w:left="7887" w:hanging="721"/>
      </w:pPr>
      <w:rPr>
        <w:rFonts w:hint="default"/>
      </w:rPr>
    </w:lvl>
    <w:lvl w:ilvl="7">
      <w:start w:val="0"/>
      <w:numFmt w:val="bullet"/>
      <w:lvlText w:val="•"/>
      <w:lvlJc w:val="left"/>
      <w:pPr>
        <w:ind w:left="8892" w:hanging="721"/>
      </w:pPr>
      <w:rPr>
        <w:rFonts w:hint="default"/>
      </w:rPr>
    </w:lvl>
    <w:lvl w:ilvl="8">
      <w:start w:val="0"/>
      <w:numFmt w:val="bullet"/>
      <w:lvlText w:val="•"/>
      <w:lvlJc w:val="left"/>
      <w:pPr>
        <w:ind w:left="9897" w:hanging="721"/>
      </w:pPr>
      <w:rPr>
        <w:rFonts w:hint="default"/>
      </w:rPr>
    </w:lvl>
  </w:abstractNum>
  <w:abstractNum w:abstractNumId="0">
    <w:multiLevelType w:val="hybridMultilevel"/>
    <w:lvl w:ilvl="0">
      <w:start w:val="1"/>
      <w:numFmt w:val="lowerLetter"/>
      <w:lvlText w:val="(%1)"/>
      <w:lvlJc w:val="left"/>
      <w:pPr>
        <w:ind w:left="1851" w:hanging="720"/>
        <w:jc w:val="left"/>
      </w:pPr>
      <w:rPr>
        <w:rFonts w:hint="default" w:ascii="Arial" w:hAnsi="Arial" w:eastAsia="Arial" w:cs="Arial"/>
        <w:spacing w:val="-2"/>
        <w:w w:val="99"/>
        <w:sz w:val="20"/>
        <w:szCs w:val="20"/>
      </w:rPr>
    </w:lvl>
    <w:lvl w:ilvl="1">
      <w:start w:val="1"/>
      <w:numFmt w:val="lowerLetter"/>
      <w:lvlText w:val="%2)"/>
      <w:lvlJc w:val="left"/>
      <w:pPr>
        <w:ind w:left="1853" w:hanging="361"/>
        <w:jc w:val="left"/>
      </w:pPr>
      <w:rPr>
        <w:rFonts w:hint="default" w:ascii="Arial" w:hAnsi="Arial" w:eastAsia="Arial" w:cs="Arial"/>
        <w:spacing w:val="-2"/>
        <w:w w:val="99"/>
        <w:sz w:val="20"/>
        <w:szCs w:val="20"/>
      </w:rPr>
    </w:lvl>
    <w:lvl w:ilvl="2">
      <w:start w:val="0"/>
      <w:numFmt w:val="bullet"/>
      <w:lvlText w:val="•"/>
      <w:lvlJc w:val="left"/>
      <w:pPr>
        <w:ind w:left="3869" w:hanging="361"/>
      </w:pPr>
      <w:rPr>
        <w:rFonts w:hint="default"/>
      </w:rPr>
    </w:lvl>
    <w:lvl w:ilvl="3">
      <w:start w:val="0"/>
      <w:numFmt w:val="bullet"/>
      <w:lvlText w:val="•"/>
      <w:lvlJc w:val="left"/>
      <w:pPr>
        <w:ind w:left="4873" w:hanging="361"/>
      </w:pPr>
      <w:rPr>
        <w:rFonts w:hint="default"/>
      </w:rPr>
    </w:lvl>
    <w:lvl w:ilvl="4">
      <w:start w:val="0"/>
      <w:numFmt w:val="bullet"/>
      <w:lvlText w:val="•"/>
      <w:lvlJc w:val="left"/>
      <w:pPr>
        <w:ind w:left="5878" w:hanging="361"/>
      </w:pPr>
      <w:rPr>
        <w:rFonts w:hint="default"/>
      </w:rPr>
    </w:lvl>
    <w:lvl w:ilvl="5">
      <w:start w:val="0"/>
      <w:numFmt w:val="bullet"/>
      <w:lvlText w:val="•"/>
      <w:lvlJc w:val="left"/>
      <w:pPr>
        <w:ind w:left="6883" w:hanging="361"/>
      </w:pPr>
      <w:rPr>
        <w:rFonts w:hint="default"/>
      </w:rPr>
    </w:lvl>
    <w:lvl w:ilvl="6">
      <w:start w:val="0"/>
      <w:numFmt w:val="bullet"/>
      <w:lvlText w:val="•"/>
      <w:lvlJc w:val="left"/>
      <w:pPr>
        <w:ind w:left="7887" w:hanging="361"/>
      </w:pPr>
      <w:rPr>
        <w:rFonts w:hint="default"/>
      </w:rPr>
    </w:lvl>
    <w:lvl w:ilvl="7">
      <w:start w:val="0"/>
      <w:numFmt w:val="bullet"/>
      <w:lvlText w:val="•"/>
      <w:lvlJc w:val="left"/>
      <w:pPr>
        <w:ind w:left="8892" w:hanging="361"/>
      </w:pPr>
      <w:rPr>
        <w:rFonts w:hint="default"/>
      </w:rPr>
    </w:lvl>
    <w:lvl w:ilvl="8">
      <w:start w:val="0"/>
      <w:numFmt w:val="bullet"/>
      <w:lvlText w:val="•"/>
      <w:lvlJc w:val="left"/>
      <w:pPr>
        <w:ind w:left="9897"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84"/>
      <w:ind w:left="3537" w:right="1607" w:hanging="1834"/>
    </w:pPr>
    <w:rPr>
      <w:rFonts w:ascii="Arial" w:hAnsi="Arial" w:eastAsia="Arial" w:cs="Arial"/>
      <w:b/>
      <w:bCs/>
      <w:sz w:val="52"/>
      <w:szCs w:val="52"/>
    </w:rPr>
  </w:style>
  <w:style w:styleId="ListParagraph" w:type="paragraph">
    <w:name w:val="List Paragraph"/>
    <w:basedOn w:val="Normal"/>
    <w:uiPriority w:val="1"/>
    <w:qFormat/>
    <w:pPr>
      <w:ind w:left="1852"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tarcon@abf.gov.au" TargetMode="External"/><Relationship Id="rId10" Type="http://schemas.openxmlformats.org/officeDocument/2006/relationships/hyperlink" Target="http://www.homeaffairs.gov.au/Forms/Documents/b235.pdf#search%3Db235"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 the rates of deduction for TCOs;</dc:creator>
  <cp:keywords>New WTA arrangements to:</cp:keywords>
  <dc:subject>1. Limit the cost of CTC.</dc:subject>
  <dc:title>2. Clarify WTA payments received from the GST Administration rebate formula from 1 July 2011 to be paid in instalments;</dc:title>
  <dcterms:created xsi:type="dcterms:W3CDTF">2020-12-09T23:08:58Z</dcterms:created>
  <dcterms:modified xsi:type="dcterms:W3CDTF">2020-12-09T23:08:58Z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LastSaved">
    <vt:filetime>2020-12-09T00:00:00Z</vt:filetime>
  </property>
</Properties>
</file>