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9"/>
        </w:rPr>
      </w:pPr>
    </w:p>
    <w:p>
      <w:pPr>
        <w:pStyle w:val="Title"/>
      </w:pPr>
      <w:r>
        <w:rPr/>
        <w:pict>
          <v:group style="position:absolute;margin-left:0pt;margin-top:-155.594238pt;width:595.35pt;height:116.45pt;mso-position-horizontal-relative:page;mso-position-vertical-relative:paragraph;z-index:15728640" coordorigin="0,-3112" coordsize="11907,2329">
            <v:shape style="position:absolute;left:0;top:-3112;width:11907;height:2329" type="#_x0000_t75" stroked="false">
              <v:imagedata r:id="rId5" o:title=""/>
            </v:shape>
            <v:shape style="position:absolute;left:686;top:-2436;width:1382;height:1020" type="#_x0000_t75" stroked="false">
              <v:imagedata r:id="rId6" o:title=""/>
            </v:shape>
            <v:line style="position:absolute" from="2196,-1794" to="5150,-1794" stroked="true" strokeweight=".757648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112;width:11907;height:232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6"/>
                      </w:rPr>
                    </w:pPr>
                  </w:p>
                  <w:p>
                    <w:pPr>
                      <w:spacing w:line="372" w:lineRule="auto" w:before="0"/>
                      <w:ind w:left="2180" w:right="6730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34EA2"/>
        </w:rPr>
        <w:t>AUSTRALIAN CUSTOMS NOTICE NO. 2008/61</w:t>
      </w:r>
    </w:p>
    <w:p>
      <w:pPr>
        <w:spacing w:before="356"/>
        <w:ind w:left="1428" w:right="1428" w:firstLine="0"/>
        <w:jc w:val="center"/>
        <w:rPr>
          <w:rFonts w:ascii="Arial-BoldItalicMT"/>
          <w:b/>
          <w:i/>
          <w:sz w:val="22"/>
        </w:rPr>
      </w:pPr>
      <w:r>
        <w:rPr>
          <w:b/>
          <w:i/>
          <w:sz w:val="22"/>
          <w:u w:val="none"/>
        </w:rPr>
        <w:t>Trade Marks Act 1995 - Coding and Other Notices of Objection</w:t>
      </w:r>
      <w:r>
        <w:rPr>
          <w:rFonts w:ascii="Arial-BoldItalicMT"/>
          <w:b/>
          <w:i/>
          <w:sz w:val="22"/>
        </w:rPr>
      </w:r>
    </w:p>
    <w:p>
      <w:pPr>
        <w:pStyle w:val="BodyText"/>
        <w:spacing w:before="3"/>
        <w:rPr>
          <w:rFonts w:ascii="Arial-BoldItalicMT"/>
          <w:b/>
          <w:i/>
          <w:sz w:val="23"/>
        </w:rPr>
      </w:pPr>
    </w:p>
    <w:p>
      <w:pPr>
        <w:pStyle w:val="BodyText"/>
        <w:ind w:left="1132"/>
        <w:rPr>
          <w:i/>
        </w:rPr>
      </w:pPr>
      <w:r>
        <w:rPr>
          <w:b w:val="0"/>
          <w:i w:val="0"/>
          <w:u w:val="none"/>
        </w:rPr>
        <w:t>From 1 July 2008, Trade Marks Notice 95/52 refers and is replaced by Trade Marks Notice 96/61, which outlines the new CPD regime.</w:t>
      </w:r>
      <w:r>
        <w:rPr>
          <w:i/>
        </w:rPr>
      </w:r>
    </w:p>
    <w:p>
      <w:pPr>
        <w:spacing w:line="242" w:lineRule="auto" w:before="0"/>
        <w:ind w:left="1132" w:right="1764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It also provides details about the definition of "substantially identical with" and the operation of the new trade mark disclosure regime.</w:t>
      </w:r>
      <w:r>
        <w:rPr>
          <w:sz w:val="20"/>
        </w:rPr>
      </w:r>
    </w:p>
    <w:p>
      <w:pPr>
        <w:pStyle w:val="BodyText"/>
        <w:spacing w:before="4"/>
      </w:pPr>
    </w:p>
    <w:p>
      <w:pPr>
        <w:pStyle w:val="Heading1"/>
      </w:pPr>
      <w:r>
        <w:rPr/>
        <w:t>Background</w:t>
      </w:r>
    </w:p>
    <w:p>
      <w:pPr>
        <w:pStyle w:val="BodyText"/>
        <w:spacing w:before="10"/>
        <w:rPr>
          <w:b/>
        </w:rPr>
      </w:pPr>
    </w:p>
    <w:p>
      <w:pPr>
        <w:spacing w:line="240" w:lineRule="auto" w:before="1"/>
        <w:ind w:left="1132" w:right="1152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The Australian Customs Service (Customs) commenced a new process to identify potentially infringing trade marks in early 2009. During this period, Customs made 1632 infringement notices, and received 695 representations in respect of those infringements.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New Notice of Objection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132" w:right="1164"/>
      </w:pPr>
      <w:r>
        <w:rPr>
          <w:b w:val="0"/>
          <w:i w:val="0"/>
          <w:u w:val="none"/>
        </w:rPr>
        <w:t>This notice details the substance of the objections of 13 manufacturers and importers to the importation of some goods with the consent of the owner of the trademark.</w:t>
      </w:r>
      <w:r>
        <w:rPr>
          <w:w w:val="95"/>
        </w:rPr>
      </w:r>
      <w:hyperlink r:id="rId7">
        <w:r>
          <w:rPr>
            <w:w w:val="95"/>
          </w:rPr>
          <w:t>www.homeaffairs.gov.au/busi/cargo-support-trade-and-goods/importing-goods/labelling-requirements.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70" w:lineRule="atLeast"/>
        <w:ind w:left="1132" w:right="9379"/>
      </w:pPr>
      <w:r>
        <w:rPr>
          <w:b w:val="0"/>
          <w:i w:val="0"/>
          <w:u w:val="none"/>
        </w:rPr>
        <w:t>Exclusion from List of Class 33</w:t>
      </w:r>
      <w:r>
        <w:rPr>
          <w:spacing w:val="-15"/>
        </w:rPr>
      </w:r>
      <w:r>
        <w:rPr/>
      </w:r>
    </w:p>
    <w:p>
      <w:pPr>
        <w:pStyle w:val="BodyText"/>
        <w:spacing w:before="5"/>
        <w:ind w:left="1132" w:right="8312"/>
      </w:pPr>
      <w:r>
        <w:rPr>
          <w:b w:val="0"/>
          <w:i w:val="0"/>
          <w:u w:val="none"/>
        </w:rPr>
        <w:t>The Customs Notice excludes two class 33 goods, which have been referred to in Chapter 17 of the</w:t>
      </w:r>
      <w:r>
        <w:rPr>
          <w:spacing w:val="-2"/>
        </w:rPr>
      </w:r>
      <w:r>
        <w:rPr/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32"/>
      </w:pPr>
      <w:r>
        <w:rPr/>
        <w:t>Schedule: in particular: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1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busi/cargo-support-trade-and-goods/importing-goods/labelling-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3300.COMPANION DIARY AUSTRALIA</dc:creator>
  <cp:keywords>3301.COMPANION DIARY AUSTRALIA</cp:keywords>
  <dc:subject>3302.COMPANION DIARY AUSTRALIA</dc:subject>
  <dc:title>3303.COMPANION DIARY AUSTRALIA</dc:title>
  <dcterms:created xsi:type="dcterms:W3CDTF">2020-12-09T22:31:43Z</dcterms:created>
  <dcterms:modified xsi:type="dcterms:W3CDTF">2020-12-09T22:31:43Z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