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Title"/>
        <w:ind w:right="209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-1577430</wp:posOffset>
            </wp:positionV>
            <wp:extent cx="7559674" cy="1481448"/>
            <wp:effectExtent l="0" t="0" r="0" b="0"/>
            <wp:wrapNone/>
            <wp:docPr id="1" name="image1.jpeg" descr="Australian Government Department of Home Affairs logo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4" cy="148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Australian Customs Notice 2003 50</w:t>
      </w:r>
    </w:p>
    <w:p>
      <w:pPr>
        <w:pStyle w:val="Title"/>
        <w:spacing w:before="201"/>
      </w:pPr>
      <w:r>
        <w:rPr/>
        <w:pict>
          <v:rect style="position:absolute;margin-left:55.919998pt;margin-top:30.260811pt;width:506.04pt;height:.481pt;mso-position-horizontal-relative:page;mso-position-vertical-relative:paragraph;z-index:-15728640;mso-wrap-distance-left:0;mso-wrap-distance-right:0" filled="true" fillcolor="#4f81bd" stroked="false">
            <v:fill type="solid"/>
            <w10:wrap type="topAndBottom"/>
          </v:rect>
        </w:pict>
      </w:r>
      <w:r>
        <w:rPr>
          <w:b w:val="0"/>
          <w:i w:val="0"/>
          <w:u w:val="none"/>
        </w:rPr>
        <w:t>Luxury car tax</w:t>
      </w:r>
      <w:r>
        <w:rPr>
          <w:color w:val="050505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spacing w:before="91"/>
        <w:ind w:left="2090" w:right="2092" w:firstLine="0"/>
        <w:jc w:val="center"/>
        <w:rPr>
          <w:b/>
          <w:sz w:val="26"/>
        </w:rPr>
      </w:pPr>
      <w:bookmarkStart w:name="Applications for Customs Broker Licence" w:id="1"/>
      <w:bookmarkEnd w:id="1"/>
      <w:r>
        <w:rPr/>
      </w:r>
      <w:r>
        <w:rPr>
          <w:b/>
          <w:sz w:val="26"/>
        </w:rPr>
        <w:t>The following luxury car tax will come into effect on 22 August 2003.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ind w:left="720" w:right="1031"/>
      </w:pPr>
      <w:r>
        <w:rPr/>
        <w:t>The list of luxury car tax rates that apply to the following luxury cars are as follows: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tabs>
          <w:tab w:pos="4084" w:val="left" w:leader="none"/>
          <w:tab w:pos="7485" w:val="left" w:leader="none"/>
        </w:tabs>
        <w:rPr>
          <w:u w:val="none"/>
        </w:rPr>
      </w:pPr>
      <w:r>
        <w:rPr>
          <w:b w:val="0"/>
          <w:i w:val="0"/>
          <w:color w:val="050505"/>
          <w:u w:val="single"/>
        </w:rPr>
        <w:t>Alpine Alp (BRK) ALP (GTA)</w:t>
      </w:r>
      <w:r>
        <w:rPr>
          <w:color w:val="050505"/>
          <w:u w:val="none"/>
        </w:rPr>
      </w:r>
      <w:r>
        <w:rPr>
          <w:color w:val="050505"/>
          <w:u w:val="thick" w:color="050505"/>
        </w:rPr>
      </w:r>
      <w:r>
        <w:rPr>
          <w:color w:val="050505"/>
          <w:u w:val="none"/>
        </w:rPr>
      </w:r>
      <w:r>
        <w:rPr>
          <w:color w:val="050505"/>
          <w:u w:val="thick" w:color="050505"/>
        </w:rPr>
      </w:r>
    </w:p>
    <w:p>
      <w:pPr>
        <w:spacing w:after="0"/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spacing w:before="3"/>
        <w:ind w:left="828" w:right="20"/>
      </w:pPr>
      <w:r>
        <w:rPr>
          <w:color w:val="050505"/>
        </w:rPr>
        <w:t>The existing law allows an individual to claim a preferential luxury car tax rate where:</w:t>
      </w:r>
    </w:p>
    <w:p>
      <w:pPr>
        <w:pStyle w:val="BodyText"/>
        <w:tabs>
          <w:tab w:pos="4228" w:val="left" w:leader="none"/>
        </w:tabs>
        <w:spacing w:before="3"/>
        <w:ind w:left="828"/>
      </w:pPr>
      <w:r>
        <w:rPr>
          <w:b w:val="0"/>
          <w:i w:val="0"/>
          <w:u w:val="none"/>
        </w:rPr>
        <w:br/>
        <w:t>they have paid for the car on and before 28 June 2003; and</w:t>
      </w:r>
      <w:r>
        <w:rPr>
          <w:color w:val="050505"/>
        </w:rPr>
      </w:r>
      <w:r>
        <w:rPr>
          <w:color w:val="050505"/>
          <w:spacing w:val="-6"/>
        </w:rPr>
      </w:r>
      <w:r>
        <w:rPr>
          <w:color w:val="050505"/>
        </w:rPr>
      </w:r>
      <w:r>
        <w:rPr>
          <w:color w:val="050505"/>
          <w:spacing w:val="-1"/>
        </w:rPr>
      </w:r>
      <w:r>
        <w:rPr>
          <w:color w:val="050505"/>
        </w:rPr>
      </w:r>
      <w:r>
        <w:rPr>
          <w:color w:val="050505"/>
          <w:spacing w:val="-2"/>
        </w:rPr>
      </w:r>
      <w:r>
        <w:rPr>
          <w:color w:val="050505"/>
        </w:rPr>
      </w:r>
    </w:p>
    <w:p>
      <w:pPr>
        <w:spacing w:after="0"/>
        <w:sectPr>
          <w:type w:val="continuous"/>
          <w:pgSz w:w="11910" w:h="16840"/>
          <w:pgMar w:top="0" w:bottom="280" w:left="0" w:right="0"/>
          <w:cols w:num="2" w:equalWidth="0">
            <w:col w:w="3158" w:space="99"/>
            <w:col w:w="8653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tabs>
          <w:tab w:pos="4084" w:val="left" w:leader="none"/>
          <w:tab w:pos="7485" w:val="left" w:leader="none"/>
        </w:tabs>
        <w:spacing w:before="93"/>
        <w:ind w:left="828"/>
      </w:pPr>
      <w:r>
        <w:rPr>
          <w:b w:val="0"/>
          <w:i w:val="0"/>
          <w:color w:val="050505"/>
          <w:u w:val="none"/>
        </w:rPr>
        <w:t>they were entitled to a preferential luxury car tax rate of 18%.</w:t>
      </w:r>
      <w:r>
        <w:rPr>
          <w:color w:val="050505"/>
          <w:spacing w:val="-1"/>
        </w:rPr>
      </w:r>
      <w:r>
        <w:rPr>
          <w:color w:val="050505"/>
        </w:rPr>
      </w:r>
      <w:r>
        <w:rPr>
          <w:color w:val="050505"/>
          <w:spacing w:val="-3"/>
        </w:rPr>
      </w:r>
      <w:r>
        <w:rPr>
          <w:color w:val="050505"/>
        </w:rPr>
      </w:r>
      <w:r>
        <w:rPr>
          <w:color w:val="050505"/>
          <w:spacing w:val="-4"/>
        </w:rPr>
      </w:r>
      <w:r>
        <w:rPr>
          <w:color w:val="050505"/>
        </w:rPr>
      </w:r>
      <w:r>
        <w:rPr>
          <w:color w:val="050505"/>
          <w:spacing w:val="-1"/>
        </w:rPr>
      </w:r>
      <w:r>
        <w:rPr>
          <w:color w:val="050505"/>
        </w:rPr>
      </w:r>
      <w:r>
        <w:rPr>
          <w:color w:val="050505"/>
          <w:spacing w:val="2"/>
        </w:rPr>
      </w:r>
      <w:r>
        <w:rPr>
          <w:color w:val="050505"/>
        </w:rPr>
      </w:r>
    </w:p>
    <w:p>
      <w:pPr>
        <w:pStyle w:val="BodyText"/>
        <w:spacing w:before="1"/>
      </w:pPr>
    </w:p>
    <w:p>
      <w:pPr>
        <w:pStyle w:val="BodyText"/>
        <w:tabs>
          <w:tab w:pos="4084" w:val="left" w:leader="none"/>
          <w:tab w:pos="7485" w:val="left" w:leader="none"/>
        </w:tabs>
        <w:ind w:left="828" w:right="2230"/>
      </w:pPr>
      <w:r>
        <w:rPr>
          <w:b w:val="0"/>
          <w:i w:val="0"/>
          <w:color w:val="050505"/>
          <w:u w:val="none"/>
        </w:rPr>
        <w:t>Luxury car tax legislation is designed to encourage people to drive luxury cars and, with the introduction of the new luxury car tax rates, that activity has increased.</w:t>
      </w:r>
      <w:r>
        <w:rPr>
          <w:color w:val="050505"/>
          <w:spacing w:val="-4"/>
        </w:rPr>
      </w:r>
      <w:r>
        <w:rPr>
          <w:color w:val="050505"/>
        </w:rPr>
      </w:r>
      <w:r>
        <w:rPr>
          <w:color w:val="050505"/>
          <w:spacing w:val="-3"/>
        </w:rPr>
      </w:r>
      <w:r>
        <w:rPr>
          <w:color w:val="050505"/>
        </w:rPr>
      </w:r>
      <w:r>
        <w:rPr>
          <w:color w:val="050505"/>
          <w:spacing w:val="-6"/>
        </w:rPr>
      </w:r>
      <w:r>
        <w:rPr>
          <w:color w:val="050505"/>
        </w:rPr>
      </w:r>
      <w:r>
        <w:rPr>
          <w:color w:val="050505"/>
          <w:spacing w:val="-2"/>
        </w:rPr>
      </w:r>
      <w:r>
        <w:rPr>
          <w:color w:val="050505"/>
        </w:rPr>
      </w:r>
      <w:r>
        <w:rPr>
          <w:color w:val="050505"/>
          <w:spacing w:val="50"/>
        </w:rPr>
      </w:r>
      <w:r>
        <w:rPr>
          <w:color w:val="050505"/>
        </w:rPr>
      </w:r>
      <w:r>
        <w:rPr>
          <w:color w:val="050505"/>
          <w:spacing w:val="55"/>
        </w:rPr>
      </w:r>
      <w:r>
        <w:rPr>
          <w:color w:val="050505"/>
        </w:rPr>
      </w:r>
      <w:r>
        <w:rPr>
          <w:color w:val="050505"/>
          <w:spacing w:val="51"/>
        </w:rPr>
      </w:r>
      <w:r>
        <w:rPr>
          <w:color w:val="050505"/>
        </w:rPr>
      </w:r>
      <w:r>
        <w:rPr>
          <w:color w:val="050505"/>
          <w:spacing w:val="53"/>
        </w:rPr>
      </w:r>
      <w:r>
        <w:rPr>
          <w:color w:val="050505"/>
        </w:rPr>
      </w:r>
      <w:r>
        <w:rPr>
          <w:color w:val="050505"/>
          <w:spacing w:val="47"/>
        </w:rPr>
      </w:r>
      <w:r>
        <w:rPr>
          <w:color w:val="050505"/>
        </w:rPr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tabs>
          <w:tab w:pos="4084" w:val="left" w:leader="none"/>
          <w:tab w:pos="7485" w:val="left" w:leader="none"/>
        </w:tabs>
        <w:rPr>
          <w:u w:val="none"/>
        </w:rPr>
      </w:pPr>
      <w:r>
        <w:rPr>
          <w:b w:val="0"/>
          <w:i w:val="0"/>
          <w:color w:val="050505"/>
          <w:u w:val="single"/>
        </w:rPr>
        <w:t>For more information on luxury car tax, contact Lindsay Stewart on (07) 275 6544 or (06) 275 6150.</w:t>
      </w:r>
      <w:r>
        <w:rPr>
          <w:color w:val="050505"/>
          <w:spacing w:val="-4"/>
          <w:u w:val="thick" w:color="050505"/>
        </w:rPr>
      </w:r>
      <w:r>
        <w:rPr>
          <w:color w:val="050505"/>
          <w:u w:val="thick" w:color="050505"/>
        </w:rPr>
      </w:r>
      <w:r>
        <w:rPr>
          <w:color w:val="050505"/>
          <w:spacing w:val="2"/>
          <w:u w:val="thick" w:color="050505"/>
        </w:rPr>
      </w:r>
      <w:r>
        <w:rPr>
          <w:color w:val="050505"/>
          <w:u w:val="thick" w:color="050505"/>
        </w:rPr>
      </w:r>
      <w:r>
        <w:rPr>
          <w:color w:val="050505"/>
          <w:u w:val="none"/>
        </w:rPr>
      </w:r>
      <w:r>
        <w:rPr>
          <w:color w:val="050505"/>
          <w:u w:val="thick" w:color="050505"/>
        </w:rPr>
      </w:r>
      <w:r>
        <w:rPr>
          <w:color w:val="050505"/>
          <w:spacing w:val="-4"/>
          <w:u w:val="thick" w:color="050505"/>
        </w:rPr>
      </w:r>
      <w:r>
        <w:rPr>
          <w:color w:val="050505"/>
          <w:u w:val="thick" w:color="050505"/>
        </w:rPr>
      </w:r>
      <w:r>
        <w:rPr>
          <w:color w:val="050505"/>
          <w:spacing w:val="2"/>
          <w:u w:val="thick" w:color="050505"/>
        </w:rPr>
      </w:r>
      <w:r>
        <w:rPr>
          <w:color w:val="050505"/>
          <w:u w:val="thick" w:color="050505"/>
        </w:rPr>
      </w:r>
      <w:r>
        <w:rPr>
          <w:color w:val="050505"/>
          <w:u w:val="none"/>
        </w:rPr>
      </w:r>
      <w:r>
        <w:rPr>
          <w:color w:val="050505"/>
          <w:u w:val="thick" w:color="050505"/>
        </w:rPr>
      </w:r>
      <w:r>
        <w:rPr>
          <w:color w:val="050505"/>
          <w:spacing w:val="4"/>
          <w:u w:val="thick" w:color="050505"/>
        </w:rPr>
      </w:r>
      <w:r>
        <w:rPr>
          <w:color w:val="050505"/>
          <w:u w:val="thick" w:color="050505"/>
        </w:rPr>
      </w:r>
    </w:p>
    <w:p>
      <w:pPr>
        <w:pStyle w:val="BodyText"/>
        <w:tabs>
          <w:tab w:pos="4084" w:val="left" w:leader="none"/>
          <w:tab w:pos="7485" w:val="left" w:leader="none"/>
        </w:tabs>
        <w:spacing w:before="1"/>
        <w:ind w:left="7485" w:right="1908" w:hanging="6658"/>
      </w:pPr>
      <w:r>
        <w:rPr>
          <w:b w:val="0"/>
          <w:i w:val="0"/>
          <w:color w:val="050505"/>
          <w:u w:val="none"/>
        </w:rPr>
        <w:t>The Hon Brendan O’Connor MP National Manager Tariff</w:t>
      </w:r>
      <w:r>
        <w:rPr>
          <w:color w:val="050505"/>
          <w:spacing w:val="-3"/>
        </w:rPr>
      </w:r>
      <w:r>
        <w:rPr>
          <w:color w:val="050505"/>
        </w:rPr>
      </w:r>
      <w:r>
        <w:rPr>
          <w:color w:val="050505"/>
          <w:spacing w:val="-5"/>
        </w:rPr>
      </w:r>
      <w:r>
        <w:rPr>
          <w:color w:val="050505"/>
        </w:rPr>
      </w:r>
      <w:r>
        <w:rPr>
          <w:color w:val="050505"/>
          <w:spacing w:val="-11"/>
        </w:rPr>
      </w:r>
      <w:r>
        <w:rPr>
          <w:color w:val="050505"/>
        </w:rPr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tabs>
          <w:tab w:pos="4084" w:val="left" w:leader="none"/>
          <w:tab w:pos="7485" w:val="left" w:leader="none"/>
        </w:tabs>
        <w:rPr>
          <w:u w:val="none"/>
        </w:rPr>
      </w:pPr>
      <w:r>
        <w:rPr>
          <w:b w:val="0"/>
          <w:i w:val="0"/>
          <w:color w:val="050505"/>
          <w:u w:val="single"/>
        </w:rPr>
        <w:t>P.g. Lindsay Stewart National Manager Trade and Commercial Branch (06) 275 6660</w:t>
      </w:r>
      <w:r>
        <w:rPr>
          <w:color w:val="050505"/>
          <w:spacing w:val="-3"/>
          <w:u w:val="thick" w:color="050505"/>
        </w:rPr>
      </w:r>
      <w:r>
        <w:rPr>
          <w:color w:val="050505"/>
          <w:u w:val="thick" w:color="050505"/>
        </w:rPr>
      </w:r>
      <w:r>
        <w:rPr>
          <w:color w:val="050505"/>
          <w:u w:val="none"/>
        </w:rPr>
      </w:r>
      <w:r>
        <w:rPr>
          <w:color w:val="050505"/>
          <w:u w:val="thick" w:color="050505"/>
        </w:rPr>
      </w:r>
      <w:r>
        <w:rPr>
          <w:color w:val="050505"/>
          <w:spacing w:val="-3"/>
          <w:u w:val="thick" w:color="050505"/>
        </w:rPr>
      </w:r>
      <w:r>
        <w:rPr>
          <w:color w:val="050505"/>
          <w:u w:val="thick" w:color="050505"/>
        </w:rPr>
      </w:r>
      <w:r>
        <w:rPr>
          <w:color w:val="050505"/>
          <w:u w:val="none"/>
        </w:rPr>
      </w:r>
      <w:r>
        <w:rPr>
          <w:color w:val="050505"/>
          <w:u w:val="thick" w:color="050505"/>
        </w:rPr>
      </w:r>
      <w:r>
        <w:rPr>
          <w:color w:val="050505"/>
          <w:spacing w:val="-2"/>
          <w:u w:val="thick" w:color="050505"/>
        </w:rPr>
      </w:r>
      <w:r>
        <w:rPr>
          <w:color w:val="050505"/>
          <w:u w:val="thick" w:color="050505"/>
        </w:rPr>
      </w:r>
    </w:p>
    <w:p>
      <w:pPr>
        <w:pStyle w:val="BodyText"/>
        <w:tabs>
          <w:tab w:pos="4084" w:val="left" w:leader="none"/>
          <w:tab w:pos="7485" w:val="left" w:leader="none"/>
        </w:tabs>
        <w:spacing w:before="3"/>
        <w:ind w:left="4084" w:right="2474" w:hanging="3257"/>
      </w:pPr>
      <w:r>
        <w:rPr>
          <w:b w:val="0"/>
          <w:i w:val="0"/>
          <w:color w:val="050505"/>
          <w:u w:val="none"/>
        </w:rPr>
        <w:t>Customs Tariff Proposal 2000/55 is available from the Department of Industry, Science and Resources.</w:t>
      </w:r>
      <w:r>
        <w:rPr>
          <w:color w:val="050505"/>
          <w:spacing w:val="-3"/>
        </w:rPr>
      </w:r>
      <w:r>
        <w:rPr>
          <w:color w:val="050505"/>
        </w:rPr>
      </w:r>
      <w:r>
        <w:rPr>
          <w:color w:val="050505"/>
          <w:spacing w:val="-5"/>
        </w:rPr>
      </w:r>
      <w:r>
        <w:rPr>
          <w:color w:val="050505"/>
        </w:rPr>
      </w:r>
      <w:r>
        <w:rPr>
          <w:color w:val="050505"/>
          <w:spacing w:val="-2"/>
        </w:rPr>
      </w:r>
      <w:r>
        <w:rPr>
          <w:color w:val="050505"/>
        </w:rPr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rPr>
          <w:u w:val="none"/>
        </w:rPr>
      </w:pPr>
      <w:r>
        <w:rPr>
          <w:color w:val="050505"/>
          <w:u w:val="thick" w:color="050505"/>
        </w:rPr>
        <w:t>ACN 2000/58</w:t>
      </w:r>
    </w:p>
    <w:p>
      <w:pPr>
        <w:pStyle w:val="BodyText"/>
        <w:spacing w:before="3"/>
        <w:ind w:left="828" w:right="8992"/>
      </w:pPr>
      <w:r>
        <w:rPr>
          <w:b w:val="0"/>
          <w:i w:val="0"/>
          <w:u w:val="none"/>
        </w:rPr>
        <w:t>Duty Refunds - Tax Provisions - International Trade and Commerce Section</w:t>
      </w:r>
      <w:r>
        <w:rPr>
          <w:spacing w:val="-2"/>
        </w:rPr>
      </w:r>
      <w:r>
        <w:rPr/>
      </w:r>
    </w:p>
    <w:p>
      <w:pPr>
        <w:pStyle w:val="BodyText"/>
        <w:spacing w:line="229" w:lineRule="exact"/>
        <w:ind w:left="828"/>
      </w:pPr>
      <w:r>
        <w:rPr/>
        <w:t>Trade and Customs Legislation Chapter 16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720" w:right="154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.4pt;margin-top:34.923359pt;width:299.850pt;height:45.6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48"/>
                    <w:gridCol w:w="2349"/>
                  </w:tblGrid>
                  <w:tr>
                    <w:trPr>
                      <w:trHeight w:val="911" w:hRule="atLeast"/>
                    </w:trPr>
                    <w:tc>
                      <w:tcPr>
                        <w:tcW w:w="3648" w:type="dxa"/>
                      </w:tcPr>
                      <w:p>
                        <w:pPr>
                          <w:pStyle w:val="TableParagraph"/>
                          <w:ind w:right="12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Broker Licensing Australian Border Force 5 Constitution Avenue</w:t>
                        </w:r>
                      </w:p>
                      <w:p>
                        <w:pPr>
                          <w:pStyle w:val="TableParagraph"/>
                          <w:spacing w:line="209" w:lineRule="exact"/>
                          <w:ind w:right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CANBERRA ACT 2601</w:t>
                        </w:r>
                      </w:p>
                    </w:tc>
                    <w:tc>
                      <w:tcPr>
                        <w:tcW w:w="2349" w:type="dxa"/>
                      </w:tcPr>
                      <w:p>
                        <w:pPr>
                          <w:pStyle w:val="TableParagraph"/>
                          <w:spacing w:before="115"/>
                          <w:ind w:left="133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Or email: </w:t>
                        </w:r>
                        <w:hyperlink r:id="rId6">
                          <w:r>
                            <w:rPr>
                              <w:color w:val="002060"/>
                              <w:sz w:val="20"/>
                              <w:u w:val="single" w:color="002060"/>
                            </w:rPr>
                            <w:t>brokers.licen</w:t>
                          </w:r>
                        </w:hyperlink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Customs Tariff Proposal 2000/55 amends the Excise Tariff Act 1921 to amend a number of duty refund provisions in the Customs Tariff and Customs Customs Act 1901 (CT Act). It provides for duty refund refund arrangements for: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6746"/>
      </w:pPr>
      <w:hyperlink r:id="rId6">
        <w:r>
          <w:rPr>
            <w:color w:val="002060"/>
            <w:u w:val="single" w:color="002060"/>
          </w:rPr>
          <w:t>sing@homeaffairs.gov.au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720" w:right="708"/>
      </w:pPr>
      <w:r>
        <w:rPr/>
        <w:t>Customs Tariff Proposal 2000/55 amends the Excise Tariff Act 1921 (ATT), providing for customs duty refunds on duty paid to a Member State, or overseas Territory, where the customs duty is set at and exceeds a threshold amount that has been calculated in accordance with section 132C of the Tariff Act (the thresholds).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720"/>
      </w:pPr>
      <w:r>
        <w:rPr/>
        <w:t>Where an application for a refund is approved on a determination by the Minister that the application is good, the refunds are to be paid on that day. Where a refund application is rejected, the applicant must wait 3 months from the date the application was rejected from the Australian Taxation Office (ATO) to apply for a refund from the customs broker of record, Customs &amp; Border Protection.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719" w:right="9814"/>
      </w:pPr>
      <w:r>
        <w:rPr/>
        <w:t>ACN 2000/58 provides for duty refund arrangements for:</w:t>
      </w:r>
    </w:p>
    <w:p>
      <w:pPr>
        <w:pStyle w:val="BodyText"/>
        <w:spacing w:before="1"/>
        <w:ind w:left="719" w:right="7935"/>
      </w:pPr>
      <w:r>
        <w:rPr/>
        <w:t>Ozone Protection and Biodiesel Measures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719"/>
      </w:pPr>
      <w:r>
        <w:rPr/>
        <w:t>Fuel Surcharges</w:t>
      </w:r>
    </w:p>
    <w:p>
      <w:pPr>
        <w:pStyle w:val="BodyText"/>
      </w:pPr>
    </w:p>
    <w:p>
      <w:pPr>
        <w:pStyle w:val="BodyText"/>
        <w:spacing w:before="4"/>
        <w:rPr>
          <w:sz w:val="10"/>
        </w:rPr>
      </w:pPr>
      <w:r>
        <w:rPr/>
        <w:pict>
          <v:rect style="position:absolute;margin-left:56.639999pt;margin-top:7.939956pt;width:481.92pt;height:.48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30"/>
        <w:ind w:left="2092" w:right="2092" w:firstLine="0"/>
        <w:jc w:val="center"/>
        <w:rPr>
          <w:sz w:val="16"/>
        </w:rPr>
      </w:pPr>
      <w:r>
        <w:rPr>
          <w:sz w:val="16"/>
        </w:rPr>
        <w:t>Fuel Rebate Offices</w:t>
      </w:r>
    </w:p>
    <w:p>
      <w:pPr>
        <w:spacing w:before="18"/>
        <w:ind w:left="2092" w:right="2092" w:firstLine="0"/>
        <w:jc w:val="center"/>
        <w:rPr>
          <w:sz w:val="16"/>
        </w:rPr>
      </w:pPr>
      <w:r>
        <w:rPr>
          <w:sz w:val="16"/>
        </w:rPr>
        <w:t xml:space="preserve">Fuel Reporting Contingency Arrangements </w:t>
      </w:r>
      <w:hyperlink r:id="rId7">
        <w:r>
          <w:rPr>
            <w:sz w:val="16"/>
          </w:rPr>
          <w:t>www.homeaffairs.gov.au</w:t>
        </w:r>
      </w:hyperlink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Heading1" w:type="paragraph">
    <w:name w:val="Heading 1"/>
    <w:basedOn w:val="Normal"/>
    <w:uiPriority w:val="1"/>
    <w:qFormat/>
    <w:pPr>
      <w:ind w:left="828"/>
      <w:outlineLvl w:val="1"/>
    </w:pPr>
    <w:rPr>
      <w:rFonts w:ascii="Arial" w:hAnsi="Arial" w:eastAsia="Arial" w:cs="Arial"/>
      <w:b/>
      <w:bCs/>
      <w:sz w:val="20"/>
      <w:szCs w:val="20"/>
      <w:u w:val="single" w:color="00000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2092" w:right="1641"/>
      <w:jc w:val="center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>
      <w:ind w:left="200" w:right="-142"/>
    </w:pPr>
    <w:rPr>
      <w:rFonts w:ascii="Arial" w:hAnsi="Arial" w:eastAsia="Arial" w:cs="Arial"/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homeaffairs.gov.au" TargetMode="External"/><Relationship Id="rId7" Type="http://schemas.openxmlformats.org/officeDocument/2006/relationships/hyperlink" Target="http://www.homeaffairs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The amendments also provide for duty refund arrangements for:</cp:keywords>
  <dc:subject>Surcharges in the Fuel Rebate Scheme are to be eligible for duty refund.</dc:subject>
  <dc:title>Refund applications will be processed with the assistance provided by the ATO.</dc:title>
  <dcterms:created xsi:type="dcterms:W3CDTF">2020-12-09T23:22:01Z</dcterms:created>
  <dcterms:modified xsi:type="dcterms:W3CDTF">2020-12-09T23:22:01Z</dcterms:modified>
  <dc:creator/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