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p>
    <w:p>
      <w:pPr>
        <w:pStyle w:val="Title"/>
        <w:ind w:right="2092"/>
      </w:pPr>
      <w:r>
        <w:rPr/>
        <w:drawing>
          <wp:anchor distT="0" distB="0" distL="0" distR="0" allowOverlap="1" layoutInCell="1" locked="0" behindDoc="0" simplePos="0" relativeHeight="15729664">
            <wp:simplePos x="0" y="0"/>
            <wp:positionH relativeFrom="page">
              <wp:posOffset>0</wp:posOffset>
            </wp:positionH>
            <wp:positionV relativeFrom="paragraph">
              <wp:posOffset>-1578332</wp:posOffset>
            </wp:positionV>
            <wp:extent cx="7559674" cy="1481454"/>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1481454"/>
                    </a:xfrm>
                    <a:prstGeom prst="rect">
                      <a:avLst/>
                    </a:prstGeom>
                  </pic:spPr>
                </pic:pic>
              </a:graphicData>
            </a:graphic>
          </wp:anchor>
        </w:drawing>
      </w:r>
      <w:r>
        <w:rPr/>
        <w:t>DEPARTMENT OF IMMIGRATION AND BORDER PROTECTION NOTICE</w:t>
      </w:r>
    </w:p>
    <w:p>
      <w:pPr>
        <w:pStyle w:val="Title"/>
        <w:spacing w:before="202"/>
        <w:ind w:left="2092"/>
      </w:pPr>
      <w:r>
        <w:rPr/>
        <w:pict>
          <v:rect style="position:absolute;margin-left:55.919998pt;margin-top:30.311844pt;width:506.16pt;height:.48001pt;mso-position-horizontal-relative:page;mso-position-vertical-relative:paragraph;z-index:-15728640;mso-wrap-distance-left:0;mso-wrap-distance-right:0" filled="true" fillcolor="#4f81bc" stroked="false">
            <v:fill type="solid"/>
            <w10:wrap type="topAndBottom"/>
          </v:rect>
        </w:pict>
      </w:r>
      <w:r>
        <w:rPr>
          <w:b w:val="0"/>
          <w:i w:val="0"/>
          <w:u w:val="none"/>
        </w:rPr>
        <w:t>No.2016/39</w:t>
      </w:r>
      <w:r>
        <w:rPr>
          <w:color w:val="0D0D0D"/>
        </w:rPr>
      </w:r>
    </w:p>
    <w:p>
      <w:pPr>
        <w:pStyle w:val="BodyText"/>
        <w:spacing w:before="7"/>
        <w:rPr>
          <w:b/>
          <w:sz w:val="13"/>
        </w:rPr>
      </w:pPr>
    </w:p>
    <w:p>
      <w:pPr>
        <w:spacing w:before="91"/>
        <w:ind w:left="2089" w:right="2092" w:firstLine="0"/>
        <w:jc w:val="center"/>
        <w:rPr>
          <w:b/>
          <w:sz w:val="26"/>
        </w:rPr>
      </w:pPr>
      <w:r>
        <w:rPr>
          <w:b/>
          <w:sz w:val="26"/>
        </w:rPr>
        <w:t>Application for Customs Broker Licence</w:t>
      </w:r>
    </w:p>
    <w:p>
      <w:pPr>
        <w:pStyle w:val="BodyText"/>
        <w:spacing w:before="7"/>
        <w:rPr>
          <w:b/>
          <w:sz w:val="24"/>
        </w:rPr>
      </w:pPr>
    </w:p>
    <w:p>
      <w:pPr>
        <w:pStyle w:val="BodyText"/>
        <w:ind w:left="720" w:right="1031"/>
      </w:pPr>
      <w:r>
        <w:rPr/>
        <w:t>The following company and individual have applied to the Chief Executive Officer for a customs broker licence.</w:t>
      </w:r>
    </w:p>
    <w:p>
      <w:pPr>
        <w:pStyle w:val="BodyText"/>
        <w:rPr>
          <w:sz w:val="22"/>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5"/>
        <w:gridCol w:w="3702"/>
      </w:tblGrid>
      <w:tr>
        <w:trPr>
          <w:trHeight w:val="230" w:hRule="atLeast"/>
        </w:trPr>
        <w:tc>
          <w:tcPr>
            <w:tcW w:w="4965" w:type="dxa"/>
          </w:tcPr>
          <w:p>
            <w:pPr>
              <w:pStyle w:val="TableParagraph"/>
              <w:spacing w:line="210" w:lineRule="exact"/>
              <w:rPr>
                <w:b/>
                <w:sz w:val="20"/>
              </w:rPr>
            </w:pPr>
            <w:r>
              <w:rPr>
                <w:b/>
                <w:color w:val="0D0D0D"/>
                <w:sz w:val="20"/>
                <w:u w:val="thick" w:color="0D0D0D"/>
              </w:rPr>
              <w:t>Page 2 of 2</w:t>
            </w:r>
          </w:p>
        </w:tc>
        <w:tc>
          <w:tcPr>
            <w:tcW w:w="3702" w:type="dxa"/>
          </w:tcPr>
          <w:p>
            <w:pPr>
              <w:pStyle w:val="TableParagraph"/>
              <w:spacing w:line="210" w:lineRule="exact"/>
              <w:rPr>
                <w:b/>
                <w:sz w:val="20"/>
              </w:rPr>
            </w:pPr>
            <w:r>
              <w:rPr>
                <w:b/>
                <w:color w:val="0D0D0D"/>
                <w:sz w:val="20"/>
                <w:u w:val="thick" w:color="0D0D0D"/>
              </w:rPr>
              <w:t>Schedule 4A/3</w:t>
            </w:r>
          </w:p>
        </w:tc>
      </w:tr>
      <w:tr>
        <w:trPr>
          <w:trHeight w:val="230" w:hRule="atLeast"/>
        </w:trPr>
        <w:tc>
          <w:tcPr>
            <w:tcW w:w="4965" w:type="dxa"/>
          </w:tcPr>
          <w:p>
            <w:pPr>
              <w:pStyle w:val="TableParagraph"/>
              <w:spacing w:line="211" w:lineRule="exact"/>
              <w:rPr>
                <w:sz w:val="20"/>
              </w:rPr>
            </w:pPr>
            <w:r>
              <w:rPr>
                <w:color w:val="0D0D0D"/>
                <w:sz w:val="20"/>
              </w:rPr>
              <w:t>Item 42 - Foreign originating goods</w:t>
            </w:r>
          </w:p>
        </w:tc>
        <w:tc>
          <w:tcPr>
            <w:tcW w:w="3702" w:type="dxa"/>
          </w:tcPr>
          <w:p>
            <w:pPr>
              <w:pStyle w:val="TableParagraph"/>
              <w:spacing w:line="211" w:lineRule="exact"/>
              <w:rPr>
                <w:sz w:val="20"/>
              </w:rPr>
            </w:pPr>
            <w:r>
              <w:rPr>
                <w:color w:val="0D0D0D"/>
                <w:sz w:val="20"/>
              </w:rPr>
              <w:t>Heading or subheading in</w:t>
            </w: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spacing w:line="210" w:lineRule="exact"/>
              <w:rPr>
                <w:sz w:val="20"/>
              </w:rPr>
            </w:pPr>
            <w:r>
              <w:rPr>
                <w:color w:val="0D0D0D"/>
                <w:sz w:val="20"/>
              </w:rPr>
              <w:t>Item Schedule 3 Rate #</w:t>
            </w:r>
          </w:p>
        </w:tc>
      </w:tr>
      <w:tr>
        <w:trPr>
          <w:trHeight w:val="230" w:hRule="atLeast"/>
        </w:trPr>
        <w:tc>
          <w:tcPr>
            <w:tcW w:w="4965" w:type="dxa"/>
          </w:tcPr>
          <w:p>
            <w:pPr>
              <w:pStyle w:val="TableParagraph"/>
              <w:spacing w:line="210" w:lineRule="exact"/>
              <w:rPr>
                <w:sz w:val="20"/>
              </w:rPr>
            </w:pPr>
            <w:r>
              <w:rPr>
                <w:color w:val="0D0D0D"/>
                <w:sz w:val="20"/>
              </w:rPr>
              <w:t>0.059662.23</w:t>
            </w:r>
          </w:p>
        </w:tc>
        <w:tc>
          <w:tcPr>
            <w:tcW w:w="3702" w:type="dxa"/>
          </w:tcPr>
          <w:p>
            <w:pPr>
              <w:pStyle w:val="TableParagraph"/>
              <w:spacing w:line="210" w:lineRule="exact"/>
              <w:rPr>
                <w:sz w:val="20"/>
              </w:rPr>
            </w:pPr>
            <w:r>
              <w:rPr>
                <w:color w:val="0D0D0D"/>
                <w:sz w:val="20"/>
              </w:rPr>
              <w:t>9.62%, and $52.29/kg</w:t>
            </w: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spacing w:line="210" w:lineRule="exact"/>
              <w:rPr>
                <w:sz w:val="20"/>
              </w:rPr>
            </w:pPr>
            <w:r>
              <w:rPr>
                <w:color w:val="0D0D0D"/>
                <w:sz w:val="20"/>
              </w:rPr>
              <w:t>2%, and $52.29/kg</w:t>
            </w:r>
          </w:p>
        </w:tc>
      </w:tr>
      <w:tr>
        <w:trPr>
          <w:trHeight w:val="230" w:hRule="atLeast"/>
        </w:trPr>
        <w:tc>
          <w:tcPr>
            <w:tcW w:w="4965" w:type="dxa"/>
          </w:tcPr>
          <w:p>
            <w:pPr>
              <w:pStyle w:val="TableParagraph"/>
              <w:spacing w:line="210" w:lineRule="exact"/>
              <w:rPr>
                <w:sz w:val="20"/>
              </w:rPr>
            </w:pPr>
            <w:r>
              <w:rPr>
                <w:color w:val="0D0D0D"/>
                <w:sz w:val="20"/>
              </w:rPr>
              <w:t>0.081125.52</w:t>
            </w:r>
          </w:p>
        </w:tc>
        <w:tc>
          <w:tcPr>
            <w:tcW w:w="3702" w:type="dxa"/>
          </w:tcPr>
          <w:p>
            <w:pPr>
              <w:pStyle w:val="TableParagraph"/>
              <w:spacing w:line="210" w:lineRule="exact"/>
              <w:rPr>
                <w:sz w:val="20"/>
              </w:rPr>
            </w:pPr>
            <w:r>
              <w:rPr>
                <w:color w:val="0D0D0D"/>
                <w:sz w:val="20"/>
              </w:rPr>
              <w:t>24.90%, and $52.29/kg</w:t>
            </w:r>
          </w:p>
        </w:tc>
      </w:tr>
      <w:tr>
        <w:trPr>
          <w:trHeight w:val="229" w:hRule="atLeast"/>
        </w:trPr>
        <w:tc>
          <w:tcPr>
            <w:tcW w:w="4965" w:type="dxa"/>
          </w:tcPr>
          <w:p>
            <w:pPr>
              <w:pStyle w:val="TableParagraph"/>
              <w:spacing w:line="210" w:lineRule="exact"/>
              <w:rPr>
                <w:sz w:val="20"/>
              </w:rPr>
            </w:pPr>
            <w:r>
              <w:rPr>
                <w:color w:val="0D0D0D"/>
                <w:sz w:val="20"/>
              </w:rPr>
              <w:t>$38.15/kg</w:t>
            </w:r>
          </w:p>
        </w:tc>
        <w:tc>
          <w:tcPr>
            <w:tcW w:w="3702" w:type="dxa"/>
          </w:tcPr>
          <w:p>
            <w:pPr>
              <w:pStyle w:val="TableParagraph"/>
              <w:spacing w:line="210" w:lineRule="exact"/>
              <w:rPr>
                <w:sz w:val="20"/>
              </w:rPr>
            </w:pPr>
            <w:r>
              <w:rPr>
                <w:color w:val="0D0D0D"/>
                <w:sz w:val="20"/>
              </w:rPr>
              <w:t>4%, and $53.43/kg</w:t>
            </w:r>
          </w:p>
        </w:tc>
      </w:tr>
      <w:tr>
        <w:trPr>
          <w:trHeight w:val="230" w:hRule="atLeast"/>
        </w:trPr>
        <w:tc>
          <w:tcPr>
            <w:tcW w:w="4965" w:type="dxa"/>
          </w:tcPr>
          <w:p>
            <w:pPr>
              <w:pStyle w:val="TableParagraph"/>
              <w:spacing w:line="210" w:lineRule="exact"/>
              <w:rPr>
                <w:sz w:val="20"/>
              </w:rPr>
            </w:pPr>
            <w:r>
              <w:rPr>
                <w:color w:val="0D0D0D"/>
                <w:sz w:val="20"/>
              </w:rPr>
              <w:t>4%, and $53.43/kg</w:t>
            </w:r>
          </w:p>
        </w:tc>
        <w:tc>
          <w:tcPr>
            <w:tcW w:w="3702" w:type="dxa"/>
          </w:tcPr>
          <w:p>
            <w:pPr>
              <w:pStyle w:val="TableParagraph"/>
              <w:spacing w:line="210" w:lineRule="exact"/>
              <w:rPr>
                <w:sz w:val="20"/>
              </w:rPr>
            </w:pPr>
            <w:r>
              <w:rPr>
                <w:color w:val="0D0D0D"/>
                <w:sz w:val="20"/>
              </w:rPr>
              <w:t>5%, and $53.43/kg</w:t>
            </w: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b/>
                <w:sz w:val="20"/>
              </w:rPr>
            </w:pPr>
            <w:r>
              <w:rPr>
                <w:b/>
                <w:color w:val="0D0D0D"/>
                <w:sz w:val="20"/>
                <w:u w:val="thick" w:color="0D0D0D"/>
              </w:rPr>
              <w:t>Schedule 4A/4</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sz w:val="20"/>
              </w:rPr>
            </w:pPr>
            <w:r>
              <w:rPr>
                <w:color w:val="0D0D0D"/>
                <w:sz w:val="20"/>
              </w:rPr>
              <w:t>Schedule 4A/5</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sz w:val="20"/>
              </w:rPr>
            </w:pPr>
            <w:r>
              <w:rPr>
                <w:color w:val="0D0D0D"/>
                <w:sz w:val="20"/>
              </w:rPr>
              <w:t>Subheading in</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b/>
                <w:sz w:val="20"/>
              </w:rPr>
            </w:pPr>
            <w:r>
              <w:rPr>
                <w:b/>
                <w:color w:val="0D0D0D"/>
                <w:sz w:val="20"/>
                <w:u w:val="thick" w:color="0D0D0D"/>
              </w:rPr>
              <w:t>Item Schedule 3 Rate #</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sz w:val="20"/>
              </w:rPr>
            </w:pPr>
            <w:r>
              <w:rPr>
                <w:color w:val="0D0D0D"/>
                <w:sz w:val="20"/>
              </w:rPr>
              <w:t>0.5470.07</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ind w:left="0"/>
              <w:rPr>
                <w:rFonts w:ascii="Times New Roman"/>
                <w:sz w:val="16"/>
              </w:rPr>
            </w:pPr>
          </w:p>
        </w:tc>
      </w:tr>
    </w:tbl>
    <w:p>
      <w:pPr>
        <w:pStyle w:val="BodyText"/>
        <w:spacing w:before="1"/>
        <w:rPr>
          <w:sz w:val="22"/>
        </w:rPr>
      </w:pPr>
    </w:p>
    <w:p>
      <w:pPr>
        <w:pStyle w:val="BodyText"/>
        <w:ind w:left="720" w:right="1031"/>
      </w:pPr>
      <w:r>
        <w:rPr>
          <w:color w:val="0D0D0D"/>
        </w:rPr>
        <w:t>Any persons wishing to make written representation in respect of these applications should address the correspondence by 13 July 2016 to:</w:t>
      </w:r>
    </w:p>
    <w:p>
      <w:pPr>
        <w:pStyle w:val="BodyText"/>
        <w:spacing w:before="6"/>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2"/>
        <w:gridCol w:w="4756"/>
      </w:tblGrid>
      <w:tr>
        <w:trPr>
          <w:trHeight w:val="911" w:hRule="atLeast"/>
        </w:trPr>
        <w:tc>
          <w:tcPr>
            <w:tcW w:w="3832" w:type="dxa"/>
          </w:tcPr>
          <w:p>
            <w:pPr>
              <w:pStyle w:val="TableParagraph"/>
              <w:ind w:left="200" w:right="1133"/>
              <w:rPr>
                <w:sz w:val="20"/>
              </w:rPr>
            </w:pPr>
            <w:r>
              <w:rPr>
                <w:b w:val="0"/>
                <w:i w:val="0"/>
                <w:sz w:val="20"/>
                <w:u w:val="none"/>
              </w:rPr>
              <w:t>$0.5470.07, and $0.5470.21/kg of tobacco content</w:t>
            </w:r>
            <w:r>
              <w:rPr>
                <w:color w:val="0D0D0D"/>
                <w:sz w:val="20"/>
              </w:rPr>
            </w:r>
            <w:r>
              <w:rPr>
                <w:sz w:val="20"/>
              </w:rPr>
            </w:r>
          </w:p>
          <w:p>
            <w:pPr>
              <w:pStyle w:val="TableParagraph"/>
              <w:spacing w:line="209" w:lineRule="exact"/>
              <w:ind w:left="200"/>
              <w:rPr>
                <w:sz w:val="20"/>
              </w:rPr>
            </w:pPr>
            <w:r>
              <w:rPr>
                <w:sz w:val="20"/>
              </w:rPr>
              <w:t>$55.47/kg of tobacco content</w:t>
            </w:r>
          </w:p>
        </w:tc>
        <w:tc>
          <w:tcPr>
            <w:tcW w:w="4756" w:type="dxa"/>
          </w:tcPr>
          <w:p>
            <w:pPr>
              <w:pStyle w:val="TableParagraph"/>
              <w:spacing w:before="115"/>
              <w:ind w:left="1154"/>
              <w:rPr>
                <w:sz w:val="20"/>
              </w:rPr>
            </w:pPr>
            <w:r>
              <w:rPr>
                <w:sz w:val="20"/>
              </w:rPr>
              <w:t xml:space="preserve">Schedule 4A/6 </w:t>
            </w:r>
            <w:hyperlink r:id="rId6">
              <w:r>
                <w:rPr>
                  <w:color w:val="001F5F"/>
                  <w:w w:val="95"/>
                  <w:sz w:val="20"/>
                  <w:u w:val="single" w:color="001F5F"/>
                </w:rPr>
                <w:t>brokers.licensing@homeaffairs.gov.au</w:t>
              </w:r>
            </w:hyperlink>
          </w:p>
        </w:tc>
      </w:tr>
    </w:tbl>
    <w:p>
      <w:pPr>
        <w:pStyle w:val="BodyText"/>
        <w:spacing w:before="3"/>
        <w:rPr>
          <w:sz w:val="21"/>
        </w:rPr>
      </w:pPr>
    </w:p>
    <w:p>
      <w:pPr>
        <w:pStyle w:val="BodyText"/>
        <w:spacing w:before="1"/>
        <w:ind w:left="720" w:right="64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6"/>
        <w:rPr>
          <w:sz w:val="30"/>
        </w:rPr>
      </w:pPr>
    </w:p>
    <w:p>
      <w:pPr>
        <w:pStyle w:val="BodyText"/>
        <w:ind w:left="720"/>
      </w:pPr>
      <w:r>
        <w:rPr/>
        <w:t>[signed]</w:t>
      </w:r>
    </w:p>
    <w:p>
      <w:pPr>
        <w:pStyle w:val="BodyText"/>
        <w:spacing w:before="10"/>
        <w:rPr>
          <w:sz w:val="19"/>
        </w:rPr>
      </w:pPr>
    </w:p>
    <w:p>
      <w:pPr>
        <w:pStyle w:val="BodyText"/>
        <w:ind w:left="720" w:right="9401"/>
      </w:pPr>
      <w:r>
        <w:rPr>
          <w:b w:val="0"/>
          <w:i w:val="0"/>
          <w:color w:val="0D0D0D"/>
          <w:u w:val="none"/>
        </w:rPr>
        <w:t>Brendan Tegg Chief Executive Officer</w:t>
      </w:r>
      <w:r>
        <w:rPr>
          <w:color w:val="0D0D0D"/>
          <w:spacing w:val="-5"/>
        </w:rPr>
      </w:r>
      <w:r>
        <w:rPr>
          <w:color w:val="0D0D0D"/>
        </w:rPr>
      </w:r>
    </w:p>
    <w:p>
      <w:pPr>
        <w:pStyle w:val="BodyText"/>
        <w:spacing w:before="2"/>
        <w:ind w:left="720"/>
      </w:pPr>
      <w:r>
        <w:rPr>
          <w:color w:val="0D0D0D"/>
        </w:rPr>
        <w:t>3 October 2016</w:t>
      </w:r>
    </w:p>
    <w:p>
      <w:pPr>
        <w:pStyle w:val="BodyText"/>
        <w:ind w:left="720" w:right="7790"/>
      </w:pPr>
      <w:r>
        <w:rPr>
          <w:color w:val="0D0D0D"/>
        </w:rPr>
        <w:t>P.G. Burns National Manager Cargo Branch</w:t>
      </w:r>
    </w:p>
    <w:p>
      <w:pPr>
        <w:pStyle w:val="BodyText"/>
        <w:spacing w:before="10"/>
        <w:rPr>
          <w:sz w:val="19"/>
        </w:rPr>
      </w:pPr>
    </w:p>
    <w:p>
      <w:pPr>
        <w:pStyle w:val="BodyText"/>
        <w:ind w:left="720"/>
      </w:pPr>
      <w:r>
        <w:rPr>
          <w:color w:val="0D0D0D"/>
        </w:rPr>
        <w:t>CANBERRA ACT</w:t>
      </w:r>
    </w:p>
    <w:p>
      <w:pPr>
        <w:pStyle w:val="BodyText"/>
      </w:pPr>
    </w:p>
    <w:p>
      <w:pPr>
        <w:pStyle w:val="BodyText"/>
      </w:pPr>
    </w:p>
    <w:p>
      <w:pPr>
        <w:pStyle w:val="BodyText"/>
      </w:pPr>
    </w:p>
    <w:p>
      <w:pPr>
        <w:pStyle w:val="BodyText"/>
      </w:pPr>
    </w:p>
    <w:p>
      <w:pPr>
        <w:pStyle w:val="BodyText"/>
      </w:pPr>
    </w:p>
    <w:p>
      <w:pPr>
        <w:pStyle w:val="BodyText"/>
        <w:spacing w:before="10"/>
        <w:rPr>
          <w:sz w:val="14"/>
        </w:rPr>
      </w:pPr>
      <w:r>
        <w:rPr/>
        <w:pict>
          <v:rect style="position:absolute;margin-left:56.664001pt;margin-top:10.499351pt;width:482.02pt;height:.47998pt;mso-position-horizontal-relative:page;mso-position-vertical-relative:paragraph;z-index:-15728128;mso-wrap-distance-left:0;mso-wrap-distance-right:0" filled="true" fillcolor="#000000" stroked="false">
            <v:fill type="solid"/>
            <w10:wrap type="topAndBottom"/>
          </v:rect>
        </w:pict>
      </w:r>
    </w:p>
    <w:p>
      <w:pPr>
        <w:spacing w:before="130"/>
        <w:ind w:left="2091" w:right="2092" w:firstLine="0"/>
        <w:jc w:val="center"/>
        <w:rPr>
          <w:sz w:val="16"/>
        </w:rPr>
      </w:pPr>
      <w:r>
        <w:rPr>
          <w:sz w:val="16"/>
        </w:rPr>
        <w:t>12 November 2016</w:t>
      </w:r>
    </w:p>
    <w:p>
      <w:pPr>
        <w:spacing w:before="18"/>
        <w:ind w:left="2092" w:right="2092" w:firstLine="0"/>
        <w:jc w:val="center"/>
        <w:rPr>
          <w:sz w:val="16"/>
        </w:rPr>
      </w:pPr>
      <w:r>
        <w:rPr>
          <w:sz w:val="16"/>
        </w:rPr>
        <w:t xml:space="preserve">1 Schedule 4A to the Customs Tariff Act 1995 (Customs Tariff Act) (the Tariff) is amended as follows: </w:t>
      </w:r>
      <w:hyperlink r:id="rId7">
        <w:r>
          <w:rPr>
            <w:sz w:val="16"/>
          </w:rPr>
          <w:t>www.homeaffairs.gov.au</w:t>
        </w:r>
      </w:hyperlink>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US" w:bidi="ar-SA"/>
    </w:rPr>
  </w:style>
  <w:style w:styleId="BodyText" w:type="paragraph">
    <w:name w:val="Body Text"/>
    <w:basedOn w:val="Normal"/>
    <w:uiPriority w:val="1"/>
    <w:qFormat/>
    <w:pPr/>
    <w:rPr>
      <w:rFonts w:ascii="Arial" w:hAnsi="Arial" w:eastAsia="Arial" w:cs="Arial"/>
      <w:sz w:val="20"/>
      <w:szCs w:val="20"/>
      <w:lang w:val="en-gb" w:eastAsia="en-US" w:bidi="ar-SA"/>
    </w:rPr>
  </w:style>
  <w:style w:styleId="Title" w:type="paragraph">
    <w:name w:val="Title"/>
    <w:basedOn w:val="Normal"/>
    <w:uiPriority w:val="1"/>
    <w:qFormat/>
    <w:pPr>
      <w:spacing w:before="91"/>
      <w:ind w:left="2091" w:right="1639"/>
      <w:jc w:val="center"/>
    </w:pPr>
    <w:rPr>
      <w:rFonts w:ascii="Arial" w:hAnsi="Arial" w:eastAsia="Arial" w:cs="Arial"/>
      <w:b/>
      <w:bCs/>
      <w:sz w:val="28"/>
      <w:szCs w:val="28"/>
      <w:lang w:val="en-gb" w:eastAsia="en-US" w:bidi="ar-SA"/>
    </w:rPr>
  </w:style>
  <w:style w:styleId="ListParagraph" w:type="paragraph">
    <w:name w:val="List Paragraph"/>
    <w:basedOn w:val="Normal"/>
    <w:uiPriority w:val="1"/>
    <w:qFormat/>
    <w:pPr/>
    <w:rPr>
      <w:lang w:val="en-gb" w:eastAsia="en-US" w:bidi="ar-SA"/>
    </w:rPr>
  </w:style>
  <w:style w:styleId="TableParagraph" w:type="paragraph">
    <w:name w:val="Table Paragraph"/>
    <w:basedOn w:val="Normal"/>
    <w:uiPriority w:val="1"/>
    <w:qFormat/>
    <w:pPr>
      <w:ind w:left="107"/>
    </w:pPr>
    <w:rPr>
      <w:rFonts w:ascii="Arial" w:hAnsi="Arial" w:eastAsia="Arial" w:cs="Arial"/>
      <w:lang w:val="en-gb"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 Id="rId7" Type="http://schemas.openxmlformats.org/officeDocument/2006/relationships/hyperlink" Target="http://www.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Item 38 - Other goods</dc:creator>
  <cp:keywords>Heading or subheading in</cp:keywords>
  <dc:subject>Item Schedule 3 Rate #</dc:subject>
  <dc:title>4%, and $40.11/kg of tobacco content</dc:title>
  <dcterms:created xsi:type="dcterms:W3CDTF">2020-12-09T22:33:13Z</dcterms:created>
  <dcterms:modified xsi:type="dcterms:W3CDTF">2020-12-09T22:33:13Z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Microsoft® Word 2016</vt:lpwstr>
  </property>
  <property fmtid="{D5CDD505-2E9C-101B-9397-08002B2CF9AE}" pid="4" name="LastSaved">
    <vt:filetime>2020-12-09T00:00:00Z</vt:filetime>
  </property>
</Properties>
</file>